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86EF" w14:textId="77777777" w:rsidR="003D307A" w:rsidRPr="007D39B5" w:rsidRDefault="003D307A" w:rsidP="003D307A">
      <w:pPr>
        <w:pStyle w:val="2ShiftAlt"/>
      </w:pPr>
      <w:r>
        <w:t>Стандартна операційна процедура</w:t>
      </w:r>
    </w:p>
    <w:tbl>
      <w:tblPr>
        <w:tblStyle w:val="11"/>
        <w:tblW w:w="10343" w:type="dxa"/>
        <w:tblLook w:val="04A0" w:firstRow="1" w:lastRow="0" w:firstColumn="1" w:lastColumn="0" w:noHBand="0" w:noVBand="1"/>
      </w:tblPr>
      <w:tblGrid>
        <w:gridCol w:w="1809"/>
        <w:gridCol w:w="8534"/>
      </w:tblGrid>
      <w:tr w:rsidR="003D307A" w:rsidRPr="007D39B5" w14:paraId="42A13315" w14:textId="77777777" w:rsidTr="00122E60">
        <w:tc>
          <w:tcPr>
            <w:tcW w:w="10343" w:type="dxa"/>
            <w:gridSpan w:val="2"/>
          </w:tcPr>
          <w:p w14:paraId="431974C3" w14:textId="77777777" w:rsidR="003D307A" w:rsidRPr="001C346D" w:rsidRDefault="003D307A" w:rsidP="00122E60">
            <w:pPr>
              <w:pStyle w:val="ShiftCtrlAlt0"/>
              <w:rPr>
                <w:lang w:val="uk-UA"/>
              </w:rPr>
            </w:pPr>
            <w:r w:rsidRPr="001C346D">
              <w:rPr>
                <w:lang w:val="uk-UA"/>
              </w:rPr>
              <w:t>КНП «</w:t>
            </w:r>
            <w:proofErr w:type="spellStart"/>
            <w:r w:rsidRPr="001C346D">
              <w:rPr>
                <w:lang w:val="uk-UA"/>
              </w:rPr>
              <w:t>Зразківська</w:t>
            </w:r>
            <w:proofErr w:type="spellEnd"/>
            <w:r w:rsidRPr="001C346D">
              <w:rPr>
                <w:lang w:val="uk-UA"/>
              </w:rPr>
              <w:t xml:space="preserve"> міська клінічна лікарня»</w:t>
            </w:r>
          </w:p>
        </w:tc>
      </w:tr>
      <w:tr w:rsidR="003D307A" w:rsidRPr="007D39B5" w14:paraId="306516BE" w14:textId="77777777" w:rsidTr="00122E60">
        <w:tc>
          <w:tcPr>
            <w:tcW w:w="10343" w:type="dxa"/>
            <w:gridSpan w:val="2"/>
          </w:tcPr>
          <w:p w14:paraId="3D318917" w14:textId="77777777" w:rsidR="003D307A" w:rsidRPr="001C346D" w:rsidRDefault="003D307A" w:rsidP="00122E60">
            <w:pPr>
              <w:pStyle w:val="ShiftCtrlAlt0"/>
              <w:rPr>
                <w:lang w:val="uk-UA"/>
              </w:rPr>
            </w:pPr>
            <w:r w:rsidRPr="001C346D">
              <w:rPr>
                <w:lang w:val="uk-UA"/>
              </w:rPr>
              <w:t>Комісія з розробки стандартних операційних процедур (</w:t>
            </w:r>
            <w:proofErr w:type="spellStart"/>
            <w:r w:rsidRPr="001C346D">
              <w:rPr>
                <w:lang w:val="uk-UA"/>
              </w:rPr>
              <w:t>СОПів</w:t>
            </w:r>
            <w:proofErr w:type="spellEnd"/>
            <w:r w:rsidRPr="001C346D">
              <w:rPr>
                <w:lang w:val="uk-UA"/>
              </w:rPr>
              <w:t>)</w:t>
            </w:r>
            <w:bookmarkStart w:id="0" w:name="_GoBack"/>
            <w:bookmarkEnd w:id="0"/>
          </w:p>
        </w:tc>
      </w:tr>
      <w:tr w:rsidR="003D307A" w:rsidRPr="007D39B5" w14:paraId="35DAD095" w14:textId="77777777" w:rsidTr="00122E60">
        <w:tc>
          <w:tcPr>
            <w:tcW w:w="1809" w:type="dxa"/>
          </w:tcPr>
          <w:p w14:paraId="31263344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СОП-СМ-28</w:t>
            </w:r>
          </w:p>
        </w:tc>
        <w:tc>
          <w:tcPr>
            <w:tcW w:w="8534" w:type="dxa"/>
            <w:vMerge w:val="restart"/>
          </w:tcPr>
          <w:p w14:paraId="2189930B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Стандартна операційна процедура</w:t>
            </w:r>
          </w:p>
        </w:tc>
      </w:tr>
      <w:tr w:rsidR="003D307A" w:rsidRPr="007D39B5" w14:paraId="5EA3E18F" w14:textId="77777777" w:rsidTr="00122E60">
        <w:tc>
          <w:tcPr>
            <w:tcW w:w="1809" w:type="dxa"/>
          </w:tcPr>
          <w:p w14:paraId="2680B7D3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Версія 1</w:t>
            </w:r>
          </w:p>
        </w:tc>
        <w:tc>
          <w:tcPr>
            <w:tcW w:w="8534" w:type="dxa"/>
            <w:vMerge/>
          </w:tcPr>
          <w:p w14:paraId="3318EF5F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</w:p>
        </w:tc>
      </w:tr>
      <w:tr w:rsidR="003D307A" w:rsidRPr="007D39B5" w14:paraId="375931E9" w14:textId="77777777" w:rsidTr="00122E60">
        <w:tc>
          <w:tcPr>
            <w:tcW w:w="10343" w:type="dxa"/>
            <w:gridSpan w:val="2"/>
          </w:tcPr>
          <w:p w14:paraId="501100D1" w14:textId="77777777" w:rsidR="003D307A" w:rsidRPr="00CA1074" w:rsidRDefault="003D307A" w:rsidP="00122E60">
            <w:pPr>
              <w:pStyle w:val="ShiftCtrlAlt0"/>
              <w:rPr>
                <w:rStyle w:val="Bold"/>
                <w:lang w:val="uk-UA"/>
              </w:rPr>
            </w:pPr>
            <w:r w:rsidRPr="00CA1074">
              <w:rPr>
                <w:rStyle w:val="Bold"/>
                <w:lang w:val="uk-UA"/>
              </w:rPr>
              <w:t>Забезпечення належних умов транспортування, приймання</w:t>
            </w:r>
            <w:r>
              <w:rPr>
                <w:rStyle w:val="Bold"/>
                <w:lang w:val="uk-UA"/>
              </w:rPr>
              <w:t xml:space="preserve"> та </w:t>
            </w:r>
            <w:r w:rsidRPr="00CA1074">
              <w:rPr>
                <w:rStyle w:val="Bold"/>
                <w:lang w:val="uk-UA"/>
              </w:rPr>
              <w:t>зберігання вакцин</w:t>
            </w:r>
          </w:p>
        </w:tc>
      </w:tr>
    </w:tbl>
    <w:p w14:paraId="73DC8544" w14:textId="77777777" w:rsidR="003D307A" w:rsidRPr="007D39B5" w:rsidRDefault="003D307A" w:rsidP="003D307A">
      <w:pPr>
        <w:pStyle w:val="Ctrl1"/>
        <w:ind w:firstLine="0"/>
      </w:pPr>
    </w:p>
    <w:tbl>
      <w:tblPr>
        <w:tblStyle w:val="11"/>
        <w:tblW w:w="10343" w:type="dxa"/>
        <w:tblLook w:val="04A0" w:firstRow="1" w:lastRow="0" w:firstColumn="1" w:lastColumn="0" w:noHBand="0" w:noVBand="1"/>
      </w:tblPr>
      <w:tblGrid>
        <w:gridCol w:w="1819"/>
        <w:gridCol w:w="1295"/>
        <w:gridCol w:w="2920"/>
        <w:gridCol w:w="1253"/>
        <w:gridCol w:w="3056"/>
      </w:tblGrid>
      <w:tr w:rsidR="003D307A" w:rsidRPr="007D39B5" w14:paraId="43B4CBC0" w14:textId="77777777" w:rsidTr="00122E60">
        <w:tc>
          <w:tcPr>
            <w:tcW w:w="1819" w:type="dxa"/>
          </w:tcPr>
          <w:p w14:paraId="6DF188CC" w14:textId="77777777" w:rsidR="003D307A" w:rsidRPr="00CA1074" w:rsidRDefault="003D307A" w:rsidP="00122E60">
            <w:pPr>
              <w:pStyle w:val="ShiftCtrlAlt1"/>
              <w:rPr>
                <w:rStyle w:val="Bold"/>
                <w:lang w:val="uk-UA"/>
              </w:rPr>
            </w:pPr>
            <w:r w:rsidRPr="00CA1074">
              <w:rPr>
                <w:rStyle w:val="Bold"/>
                <w:lang w:val="uk-UA"/>
              </w:rPr>
              <w:t>Етапи впровадження</w:t>
            </w:r>
          </w:p>
        </w:tc>
        <w:tc>
          <w:tcPr>
            <w:tcW w:w="1295" w:type="dxa"/>
          </w:tcPr>
          <w:p w14:paraId="6619E721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Дата</w:t>
            </w:r>
          </w:p>
        </w:tc>
        <w:tc>
          <w:tcPr>
            <w:tcW w:w="2920" w:type="dxa"/>
          </w:tcPr>
          <w:p w14:paraId="0AC4C1EC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Посада</w:t>
            </w:r>
          </w:p>
        </w:tc>
        <w:tc>
          <w:tcPr>
            <w:tcW w:w="1253" w:type="dxa"/>
          </w:tcPr>
          <w:p w14:paraId="3950218C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Підпис</w:t>
            </w:r>
          </w:p>
        </w:tc>
        <w:tc>
          <w:tcPr>
            <w:tcW w:w="3056" w:type="dxa"/>
          </w:tcPr>
          <w:p w14:paraId="5223D525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Ім’я ПРІЗВИЩЕ</w:t>
            </w:r>
          </w:p>
        </w:tc>
      </w:tr>
      <w:tr w:rsidR="003D307A" w:rsidRPr="007D39B5" w14:paraId="25E7B08E" w14:textId="77777777" w:rsidTr="00122E60">
        <w:tc>
          <w:tcPr>
            <w:tcW w:w="1819" w:type="dxa"/>
          </w:tcPr>
          <w:p w14:paraId="09F96064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Розробили</w:t>
            </w:r>
          </w:p>
        </w:tc>
        <w:tc>
          <w:tcPr>
            <w:tcW w:w="1295" w:type="dxa"/>
          </w:tcPr>
          <w:p w14:paraId="3EF3956D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23.10.2023</w:t>
            </w:r>
          </w:p>
        </w:tc>
        <w:tc>
          <w:tcPr>
            <w:tcW w:w="2920" w:type="dxa"/>
          </w:tcPr>
          <w:p w14:paraId="21B839CF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 xml:space="preserve">Працівник </w:t>
            </w:r>
            <w:r w:rsidRPr="007D39B5">
              <w:rPr>
                <w:lang w:val="uk-UA"/>
              </w:rPr>
              <w:t>і</w:t>
            </w:r>
            <w:r w:rsidRPr="00CA1074">
              <w:rPr>
                <w:lang w:val="uk-UA"/>
              </w:rPr>
              <w:t>з господарської діяльності ЗОЗ</w:t>
            </w:r>
          </w:p>
        </w:tc>
        <w:tc>
          <w:tcPr>
            <w:tcW w:w="1253" w:type="dxa"/>
          </w:tcPr>
          <w:p w14:paraId="338E916B" w14:textId="77777777" w:rsidR="003D307A" w:rsidRPr="00CA1074" w:rsidRDefault="003D307A" w:rsidP="00122E60">
            <w:pPr>
              <w:pStyle w:val="ShiftCtrlAlt0"/>
              <w:rPr>
                <w:rStyle w:val="Italic"/>
                <w:lang w:val="uk-UA"/>
              </w:rPr>
            </w:pPr>
            <w:r w:rsidRPr="00CA1074">
              <w:rPr>
                <w:rStyle w:val="Italic"/>
                <w:lang w:val="uk-UA"/>
              </w:rPr>
              <w:t>Мельник</w:t>
            </w:r>
          </w:p>
        </w:tc>
        <w:tc>
          <w:tcPr>
            <w:tcW w:w="3056" w:type="dxa"/>
          </w:tcPr>
          <w:p w14:paraId="7F6D79D4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Ганна МЕЛЬНИК</w:t>
            </w:r>
          </w:p>
        </w:tc>
      </w:tr>
      <w:tr w:rsidR="003D307A" w:rsidRPr="007D39B5" w14:paraId="1131699B" w14:textId="77777777" w:rsidTr="00122E60">
        <w:tc>
          <w:tcPr>
            <w:tcW w:w="1819" w:type="dxa"/>
          </w:tcPr>
          <w:p w14:paraId="446CF8D9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Погодили</w:t>
            </w:r>
          </w:p>
        </w:tc>
        <w:tc>
          <w:tcPr>
            <w:tcW w:w="1295" w:type="dxa"/>
          </w:tcPr>
          <w:p w14:paraId="23937EB1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25.10.2023</w:t>
            </w:r>
          </w:p>
        </w:tc>
        <w:tc>
          <w:tcPr>
            <w:tcW w:w="2920" w:type="dxa"/>
          </w:tcPr>
          <w:p w14:paraId="6C700851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Медичний директор</w:t>
            </w:r>
          </w:p>
        </w:tc>
        <w:tc>
          <w:tcPr>
            <w:tcW w:w="1253" w:type="dxa"/>
          </w:tcPr>
          <w:p w14:paraId="20FBF839" w14:textId="77777777" w:rsidR="003D307A" w:rsidRPr="00CA1074" w:rsidRDefault="003D307A" w:rsidP="00122E60">
            <w:pPr>
              <w:pStyle w:val="ShiftCtrlAlt0"/>
              <w:rPr>
                <w:rStyle w:val="Italic"/>
                <w:lang w:val="uk-UA"/>
              </w:rPr>
            </w:pPr>
            <w:r w:rsidRPr="00CA1074">
              <w:rPr>
                <w:rStyle w:val="Italic"/>
                <w:lang w:val="uk-UA"/>
              </w:rPr>
              <w:t>Легкий</w:t>
            </w:r>
          </w:p>
        </w:tc>
        <w:tc>
          <w:tcPr>
            <w:tcW w:w="3056" w:type="dxa"/>
          </w:tcPr>
          <w:p w14:paraId="7D6E72A7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Петро ЛЕГКИЙ</w:t>
            </w:r>
          </w:p>
        </w:tc>
      </w:tr>
      <w:tr w:rsidR="003D307A" w:rsidRPr="007D39B5" w14:paraId="4B26F4DA" w14:textId="77777777" w:rsidTr="00122E60">
        <w:tc>
          <w:tcPr>
            <w:tcW w:w="1819" w:type="dxa"/>
          </w:tcPr>
          <w:p w14:paraId="2FAD1961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Затвердили</w:t>
            </w:r>
          </w:p>
        </w:tc>
        <w:tc>
          <w:tcPr>
            <w:tcW w:w="1295" w:type="dxa"/>
          </w:tcPr>
          <w:p w14:paraId="1EB36F50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25.10.2023</w:t>
            </w:r>
          </w:p>
        </w:tc>
        <w:tc>
          <w:tcPr>
            <w:tcW w:w="2920" w:type="dxa"/>
          </w:tcPr>
          <w:p w14:paraId="64C21811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Директор</w:t>
            </w:r>
          </w:p>
        </w:tc>
        <w:tc>
          <w:tcPr>
            <w:tcW w:w="1253" w:type="dxa"/>
          </w:tcPr>
          <w:p w14:paraId="05223360" w14:textId="77777777" w:rsidR="003D307A" w:rsidRPr="00CA1074" w:rsidRDefault="003D307A" w:rsidP="00122E60">
            <w:pPr>
              <w:pStyle w:val="ShiftCtrlAlt0"/>
              <w:rPr>
                <w:rStyle w:val="Italic"/>
                <w:lang w:val="uk-UA"/>
              </w:rPr>
            </w:pPr>
            <w:r w:rsidRPr="00CA1074">
              <w:rPr>
                <w:rStyle w:val="Italic"/>
                <w:lang w:val="uk-UA"/>
              </w:rPr>
              <w:t>Щаслива</w:t>
            </w:r>
          </w:p>
        </w:tc>
        <w:tc>
          <w:tcPr>
            <w:tcW w:w="3056" w:type="dxa"/>
          </w:tcPr>
          <w:p w14:paraId="0C198C45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Олена ЩАСЛИВА</w:t>
            </w:r>
          </w:p>
        </w:tc>
      </w:tr>
    </w:tbl>
    <w:p w14:paraId="308C3B78" w14:textId="77777777" w:rsidR="003D307A" w:rsidRPr="007D39B5" w:rsidRDefault="003D307A" w:rsidP="003D307A">
      <w:pPr>
        <w:pStyle w:val="Ctrl1"/>
        <w:ind w:firstLine="0"/>
      </w:pPr>
    </w:p>
    <w:p w14:paraId="0ED23021" w14:textId="77777777" w:rsidR="003D307A" w:rsidRPr="007D39B5" w:rsidRDefault="003D307A" w:rsidP="003D307A">
      <w:pPr>
        <w:pStyle w:val="ShiftCtrlAlt0"/>
        <w:rPr>
          <w:rStyle w:val="Bold"/>
          <w:lang w:val="uk-UA"/>
        </w:rPr>
      </w:pPr>
      <w:r w:rsidRPr="007D39B5">
        <w:rPr>
          <w:rStyle w:val="Bold"/>
          <w:lang w:val="uk-UA"/>
        </w:rPr>
        <w:t>Актуалізували</w:t>
      </w:r>
    </w:p>
    <w:tbl>
      <w:tblPr>
        <w:tblStyle w:val="11"/>
        <w:tblW w:w="10343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65"/>
      </w:tblGrid>
      <w:tr w:rsidR="003D307A" w:rsidRPr="007D39B5" w14:paraId="0E780020" w14:textId="77777777" w:rsidTr="00122E60">
        <w:tc>
          <w:tcPr>
            <w:tcW w:w="2392" w:type="dxa"/>
          </w:tcPr>
          <w:p w14:paraId="308D2B0B" w14:textId="77777777" w:rsidR="003D307A" w:rsidRPr="00CA1074" w:rsidRDefault="003D307A" w:rsidP="00122E60">
            <w:pPr>
              <w:pStyle w:val="ShiftCtrlAlt1"/>
              <w:rPr>
                <w:rStyle w:val="Bold"/>
                <w:lang w:val="uk-UA"/>
              </w:rPr>
            </w:pPr>
            <w:r w:rsidRPr="00CA1074">
              <w:rPr>
                <w:rStyle w:val="Bold"/>
                <w:lang w:val="uk-UA"/>
              </w:rPr>
              <w:t>Дата</w:t>
            </w:r>
          </w:p>
        </w:tc>
        <w:tc>
          <w:tcPr>
            <w:tcW w:w="2393" w:type="dxa"/>
          </w:tcPr>
          <w:p w14:paraId="32B922A8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Посада</w:t>
            </w:r>
          </w:p>
        </w:tc>
        <w:tc>
          <w:tcPr>
            <w:tcW w:w="2393" w:type="dxa"/>
          </w:tcPr>
          <w:p w14:paraId="037362D3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Підпис</w:t>
            </w:r>
          </w:p>
        </w:tc>
        <w:tc>
          <w:tcPr>
            <w:tcW w:w="3165" w:type="dxa"/>
          </w:tcPr>
          <w:p w14:paraId="7CA2D951" w14:textId="77777777" w:rsidR="003D307A" w:rsidRPr="00CA1074" w:rsidRDefault="003D307A" w:rsidP="00122E60">
            <w:pPr>
              <w:pStyle w:val="ShiftCtrlAlt1"/>
              <w:rPr>
                <w:rStyle w:val="Bold"/>
                <w:b/>
                <w:bCs/>
                <w:lang w:val="uk-UA"/>
              </w:rPr>
            </w:pPr>
            <w:r w:rsidRPr="00CA1074">
              <w:rPr>
                <w:rStyle w:val="Bold"/>
                <w:lang w:val="uk-UA"/>
              </w:rPr>
              <w:t>Ім’я ПРІЗВИЩЕ</w:t>
            </w:r>
          </w:p>
        </w:tc>
      </w:tr>
      <w:tr w:rsidR="003D307A" w:rsidRPr="007D39B5" w14:paraId="0A0737F1" w14:textId="77777777" w:rsidTr="00122E60">
        <w:tc>
          <w:tcPr>
            <w:tcW w:w="2392" w:type="dxa"/>
          </w:tcPr>
          <w:p w14:paraId="2CA97D4E" w14:textId="77777777" w:rsidR="003D307A" w:rsidRPr="007D39B5" w:rsidRDefault="003D307A" w:rsidP="00122E60">
            <w:pPr>
              <w:pStyle w:val="ShiftCtrlAlt0"/>
              <w:rPr>
                <w:lang w:val="uk-UA"/>
              </w:rPr>
            </w:pPr>
            <w:r w:rsidRPr="007D39B5">
              <w:rPr>
                <w:lang w:val="uk-UA"/>
              </w:rPr>
              <w:t>&lt;..&gt;</w:t>
            </w:r>
          </w:p>
        </w:tc>
        <w:tc>
          <w:tcPr>
            <w:tcW w:w="2393" w:type="dxa"/>
          </w:tcPr>
          <w:p w14:paraId="7D38DD38" w14:textId="77777777" w:rsidR="003D307A" w:rsidRPr="007D39B5" w:rsidRDefault="003D307A" w:rsidP="00122E60">
            <w:pPr>
              <w:pStyle w:val="ShiftCtrlAlt0"/>
              <w:rPr>
                <w:lang w:val="uk-UA"/>
              </w:rPr>
            </w:pPr>
            <w:r w:rsidRPr="007D39B5">
              <w:rPr>
                <w:lang w:val="uk-UA"/>
              </w:rPr>
              <w:t>&lt;..&gt;</w:t>
            </w:r>
          </w:p>
        </w:tc>
        <w:tc>
          <w:tcPr>
            <w:tcW w:w="2393" w:type="dxa"/>
          </w:tcPr>
          <w:p w14:paraId="098B9CEA" w14:textId="77777777" w:rsidR="003D307A" w:rsidRPr="007D39B5" w:rsidRDefault="003D307A" w:rsidP="00122E60">
            <w:pPr>
              <w:pStyle w:val="ShiftCtrlAlt0"/>
              <w:rPr>
                <w:lang w:val="uk-UA"/>
              </w:rPr>
            </w:pPr>
            <w:r w:rsidRPr="007D39B5">
              <w:rPr>
                <w:lang w:val="uk-UA"/>
              </w:rPr>
              <w:t>&lt;..&gt;</w:t>
            </w:r>
          </w:p>
        </w:tc>
        <w:tc>
          <w:tcPr>
            <w:tcW w:w="3165" w:type="dxa"/>
          </w:tcPr>
          <w:p w14:paraId="4C0F8251" w14:textId="77777777" w:rsidR="003D307A" w:rsidRPr="007D39B5" w:rsidRDefault="003D307A" w:rsidP="00122E60">
            <w:pPr>
              <w:pStyle w:val="ShiftCtrlAlt0"/>
              <w:rPr>
                <w:lang w:val="uk-UA"/>
              </w:rPr>
            </w:pPr>
            <w:r w:rsidRPr="007D39B5">
              <w:rPr>
                <w:lang w:val="uk-UA"/>
              </w:rPr>
              <w:t>&lt;..&gt;</w:t>
            </w:r>
          </w:p>
        </w:tc>
      </w:tr>
    </w:tbl>
    <w:p w14:paraId="4FC0F966" w14:textId="77777777" w:rsidR="003D307A" w:rsidRPr="007D39B5" w:rsidRDefault="003D307A" w:rsidP="003D307A">
      <w:pPr>
        <w:pStyle w:val="Ctrl1"/>
        <w:ind w:firstLine="0"/>
      </w:pPr>
    </w:p>
    <w:p w14:paraId="392C8BE8" w14:textId="77777777" w:rsidR="003D307A" w:rsidRPr="00CA1074" w:rsidRDefault="003D307A" w:rsidP="003D307A">
      <w:pPr>
        <w:pStyle w:val="ShiftAlt"/>
        <w:rPr>
          <w:rStyle w:val="Bold"/>
        </w:rPr>
      </w:pPr>
      <w:r w:rsidRPr="00CA1074">
        <w:rPr>
          <w:rStyle w:val="Bold"/>
        </w:rPr>
        <w:t>1. Мета</w:t>
      </w:r>
      <w:r>
        <w:rPr>
          <w:rStyle w:val="Bold"/>
        </w:rPr>
        <w:t xml:space="preserve"> стандартної операційної процедури</w:t>
      </w:r>
    </w:p>
    <w:p w14:paraId="7D00128D" w14:textId="77777777" w:rsidR="003D307A" w:rsidRPr="007D39B5" w:rsidRDefault="003D307A" w:rsidP="003D307A">
      <w:pPr>
        <w:pStyle w:val="ShiftAlt"/>
      </w:pPr>
      <w:r w:rsidRPr="007D39B5">
        <w:t>1.1. Дотримати умов зберігання, транспортування, приймання</w:t>
      </w:r>
      <w:r>
        <w:t xml:space="preserve"> та </w:t>
      </w:r>
      <w:r w:rsidRPr="007D39B5">
        <w:t>обліку вакцин, анатоксинів</w:t>
      </w:r>
      <w:r>
        <w:t xml:space="preserve"> та </w:t>
      </w:r>
      <w:r w:rsidRPr="007D39B5">
        <w:t>алергену туберкульозного (МІБП), що потребують особливих температурних умов «холодового ланцюга».</w:t>
      </w:r>
    </w:p>
    <w:p w14:paraId="06D4B22C" w14:textId="77777777" w:rsidR="003D307A" w:rsidRPr="007D39B5" w:rsidRDefault="003D307A" w:rsidP="003D307A">
      <w:pPr>
        <w:pStyle w:val="ShiftAlt"/>
      </w:pPr>
      <w:r w:rsidRPr="007D39B5">
        <w:t>1.2. Зберігати показники ефективн</w:t>
      </w:r>
      <w:r>
        <w:t>ості та </w:t>
      </w:r>
      <w:r w:rsidRPr="007D39B5">
        <w:t>безпек</w:t>
      </w:r>
      <w:r>
        <w:t>и</w:t>
      </w:r>
      <w:r w:rsidRPr="007D39B5">
        <w:t xml:space="preserve"> вакцин.</w:t>
      </w:r>
    </w:p>
    <w:p w14:paraId="28C3FAB5" w14:textId="77777777" w:rsidR="003D307A" w:rsidRPr="007D39B5" w:rsidRDefault="003D307A" w:rsidP="003D307A">
      <w:pPr>
        <w:pStyle w:val="ShiftAlt"/>
      </w:pPr>
      <w:r w:rsidRPr="007D39B5">
        <w:t>1.3. Контролювати дотримання умов «холодового ланцюга».</w:t>
      </w:r>
    </w:p>
    <w:p w14:paraId="0175B87E" w14:textId="77777777" w:rsidR="003D307A" w:rsidRDefault="003D307A" w:rsidP="003D307A">
      <w:pPr>
        <w:pStyle w:val="ShiftAlt"/>
        <w:rPr>
          <w:rStyle w:val="Bold"/>
        </w:rPr>
      </w:pPr>
    </w:p>
    <w:p w14:paraId="1C3358DF" w14:textId="77777777" w:rsidR="003D307A" w:rsidRPr="0076303B" w:rsidRDefault="003D307A" w:rsidP="003D307A">
      <w:pPr>
        <w:pStyle w:val="ShiftAlt"/>
        <w:rPr>
          <w:rStyle w:val="Bold"/>
        </w:rPr>
      </w:pPr>
      <w:r>
        <w:rPr>
          <w:rStyle w:val="Bold"/>
        </w:rPr>
        <w:t>2</w:t>
      </w:r>
      <w:r w:rsidRPr="0076303B">
        <w:rPr>
          <w:rStyle w:val="Bold"/>
        </w:rPr>
        <w:t>. </w:t>
      </w:r>
      <w:r>
        <w:rPr>
          <w:rStyle w:val="Bold"/>
        </w:rPr>
        <w:t>Нормативно-правові акти</w:t>
      </w:r>
    </w:p>
    <w:p w14:paraId="78E52519" w14:textId="77777777" w:rsidR="003D307A" w:rsidRPr="007D39B5" w:rsidRDefault="003D307A" w:rsidP="003D307A">
      <w:pPr>
        <w:pStyle w:val="ShiftAlt"/>
      </w:pPr>
      <w:r>
        <w:t>2.1. Наказ МОЗ «Про </w:t>
      </w:r>
      <w:r w:rsidRPr="007D39B5">
        <w:t>порядок проведення профілактичних щеплень в Україні</w:t>
      </w:r>
      <w:r>
        <w:t xml:space="preserve"> та </w:t>
      </w:r>
      <w:r w:rsidRPr="007D39B5">
        <w:t>контроль якості</w:t>
      </w:r>
      <w:r>
        <w:t xml:space="preserve"> й </w:t>
      </w:r>
      <w:r w:rsidRPr="007D39B5">
        <w:t>обігу медичних імунобіологічних препаратів» від 16.09.2011 № 595.</w:t>
      </w:r>
    </w:p>
    <w:p w14:paraId="09CD1D5E" w14:textId="77777777" w:rsidR="003D307A" w:rsidRDefault="003D307A" w:rsidP="003D307A">
      <w:pPr>
        <w:pStyle w:val="ShiftAlt"/>
      </w:pPr>
    </w:p>
    <w:p w14:paraId="1CEC62F6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3</w:t>
      </w:r>
      <w:r w:rsidRPr="00CA1074">
        <w:rPr>
          <w:rStyle w:val="Bold"/>
        </w:rPr>
        <w:t>. </w:t>
      </w:r>
      <w:r>
        <w:rPr>
          <w:rStyle w:val="Bold"/>
        </w:rPr>
        <w:t>Визначення</w:t>
      </w:r>
    </w:p>
    <w:p w14:paraId="339D399B" w14:textId="77777777" w:rsidR="003D307A" w:rsidRPr="00CA1074" w:rsidRDefault="003D307A" w:rsidP="003D307A">
      <w:pPr>
        <w:pStyle w:val="ShiftAlt"/>
      </w:pPr>
      <w:r>
        <w:t>3.1. </w:t>
      </w:r>
      <w:r w:rsidRPr="001E773A">
        <w:t>Холодовий ланцюг </w:t>
      </w:r>
      <w:r w:rsidRPr="00206C51">
        <w:t xml:space="preserve">— безперервна </w:t>
      </w:r>
      <w:r w:rsidRPr="00090F49">
        <w:t>система, що функціонує</w:t>
      </w:r>
      <w:r>
        <w:t xml:space="preserve"> та </w:t>
      </w:r>
      <w:r w:rsidRPr="00B634C9">
        <w:t>забезпечує оптимальний температурний режим зберігання і</w:t>
      </w:r>
      <w:r w:rsidRPr="00CA1074">
        <w:t> транспортування</w:t>
      </w:r>
      <w:r>
        <w:t xml:space="preserve"> на </w:t>
      </w:r>
      <w:r w:rsidRPr="00CA1074">
        <w:t>всіх етапах переміщення вакцин, анатоксинів</w:t>
      </w:r>
      <w:r>
        <w:t xml:space="preserve"> та </w:t>
      </w:r>
      <w:r w:rsidRPr="00CA1074">
        <w:t>алергену туберкульозного від підприємства-виробника</w:t>
      </w:r>
      <w:r>
        <w:t xml:space="preserve"> до </w:t>
      </w:r>
      <w:r w:rsidRPr="00CA1074">
        <w:t>споживача.</w:t>
      </w:r>
    </w:p>
    <w:p w14:paraId="31B7B8AA" w14:textId="77777777" w:rsidR="003D307A" w:rsidRPr="00CA1074" w:rsidRDefault="003D307A" w:rsidP="003D307A">
      <w:pPr>
        <w:pStyle w:val="ShiftAlt"/>
      </w:pPr>
      <w:r>
        <w:t>3.2. </w:t>
      </w:r>
      <w:r w:rsidRPr="001E773A">
        <w:t>Заморожування сорбованих препаратів </w:t>
      </w:r>
      <w:r w:rsidRPr="00206C51">
        <w:t>— процес, який призводить</w:t>
      </w:r>
      <w:r>
        <w:t xml:space="preserve"> до </w:t>
      </w:r>
      <w:r w:rsidRPr="00427CA3">
        <w:t>десорбції антигенів, що</w:t>
      </w:r>
      <w:r w:rsidRPr="00CA1074">
        <w:t xml:space="preserve"> значно знижує їхню </w:t>
      </w:r>
      <w:proofErr w:type="spellStart"/>
      <w:r w:rsidRPr="00CA1074">
        <w:t>імуногенність</w:t>
      </w:r>
      <w:proofErr w:type="spellEnd"/>
      <w:r w:rsidRPr="00CA1074">
        <w:t>, спричиняє порушення фізико-хімічної структури білків, падіння активності діючої речовини.</w:t>
      </w:r>
    </w:p>
    <w:p w14:paraId="703424ED" w14:textId="77777777" w:rsidR="003D307A" w:rsidRDefault="003D307A" w:rsidP="003D307A">
      <w:pPr>
        <w:pStyle w:val="ShiftAlt"/>
        <w:rPr>
          <w:rStyle w:val="Bold"/>
        </w:rPr>
      </w:pPr>
    </w:p>
    <w:p w14:paraId="1B7989C4" w14:textId="77777777" w:rsidR="003D307A" w:rsidRDefault="003D307A" w:rsidP="003D307A">
      <w:pPr>
        <w:pStyle w:val="ShiftAlt"/>
        <w:rPr>
          <w:rStyle w:val="Bold"/>
        </w:rPr>
      </w:pPr>
      <w:r>
        <w:rPr>
          <w:rStyle w:val="Bold"/>
        </w:rPr>
        <w:t>4. Скорочення</w:t>
      </w:r>
    </w:p>
    <w:p w14:paraId="20A6ECD0" w14:textId="77777777" w:rsidR="003D307A" w:rsidRPr="001E773A" w:rsidRDefault="003D307A" w:rsidP="003D307A">
      <w:pPr>
        <w:pStyle w:val="a0"/>
      </w:pPr>
      <w:r w:rsidRPr="001E773A">
        <w:t>ЗОЗ </w:t>
      </w:r>
      <w:r w:rsidRPr="00206C51">
        <w:t>— заклад охорони здоров’я</w:t>
      </w:r>
      <w:r>
        <w:t>;</w:t>
      </w:r>
    </w:p>
    <w:p w14:paraId="3ED79B6A" w14:textId="77777777" w:rsidR="003D307A" w:rsidRPr="00090F49" w:rsidRDefault="003D307A" w:rsidP="003D307A">
      <w:pPr>
        <w:pStyle w:val="a0"/>
      </w:pPr>
      <w:r w:rsidRPr="00206C51">
        <w:t>МІБП </w:t>
      </w:r>
      <w:r w:rsidRPr="00090F49">
        <w:t>— медичні імунобіологічні препарати.</w:t>
      </w:r>
    </w:p>
    <w:p w14:paraId="7071FFA8" w14:textId="77777777" w:rsidR="003D307A" w:rsidRPr="007D39B5" w:rsidRDefault="003D307A" w:rsidP="003D307A">
      <w:pPr>
        <w:pStyle w:val="ShiftAlt"/>
      </w:pPr>
    </w:p>
    <w:p w14:paraId="6069BB2D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5</w:t>
      </w:r>
      <w:r w:rsidRPr="00CA1074">
        <w:rPr>
          <w:rStyle w:val="Bold"/>
        </w:rPr>
        <w:t>. </w:t>
      </w:r>
      <w:r>
        <w:rPr>
          <w:rStyle w:val="Bold"/>
        </w:rPr>
        <w:t>Повноваження</w:t>
      </w:r>
    </w:p>
    <w:p w14:paraId="533EA3F5" w14:textId="77777777" w:rsidR="003D307A" w:rsidRPr="007D39B5" w:rsidRDefault="003D307A" w:rsidP="003D307A">
      <w:pPr>
        <w:pStyle w:val="ShiftAlt"/>
      </w:pPr>
      <w:r>
        <w:t>5.1. М</w:t>
      </w:r>
      <w:r w:rsidRPr="007D39B5">
        <w:t xml:space="preserve">едичні працівники, </w:t>
      </w:r>
      <w:r>
        <w:t>яких призначив</w:t>
      </w:r>
      <w:r w:rsidRPr="007D39B5">
        <w:t xml:space="preserve"> керівник ЗОЗ</w:t>
      </w:r>
      <w:r>
        <w:t xml:space="preserve"> відповідно до посадових обов’язків,</w:t>
      </w:r>
      <w:r w:rsidRPr="007D39B5">
        <w:t xml:space="preserve"> несуть </w:t>
      </w:r>
      <w:r>
        <w:t>в</w:t>
      </w:r>
      <w:r w:rsidRPr="007D39B5">
        <w:t>ідповідальність</w:t>
      </w:r>
      <w:r>
        <w:t xml:space="preserve"> за </w:t>
      </w:r>
      <w:r w:rsidRPr="007D39B5">
        <w:t>дотримання умов зберігання</w:t>
      </w:r>
      <w:r>
        <w:t xml:space="preserve"> та </w:t>
      </w:r>
      <w:r w:rsidRPr="007D39B5">
        <w:t xml:space="preserve">транспортування </w:t>
      </w:r>
      <w:r>
        <w:t>МІБП</w:t>
      </w:r>
      <w:r w:rsidRPr="007D39B5">
        <w:t xml:space="preserve"> (вакцин)</w:t>
      </w:r>
      <w:r>
        <w:t>.</w:t>
      </w:r>
    </w:p>
    <w:p w14:paraId="2524DC73" w14:textId="77777777" w:rsidR="003D307A" w:rsidRDefault="003D307A" w:rsidP="003D307A">
      <w:pPr>
        <w:pStyle w:val="ShiftAlt"/>
      </w:pPr>
    </w:p>
    <w:p w14:paraId="1229F794" w14:textId="77777777" w:rsidR="003D307A" w:rsidRPr="00831F48" w:rsidRDefault="003D307A" w:rsidP="003D307A">
      <w:pPr>
        <w:pStyle w:val="ShiftAlt"/>
        <w:rPr>
          <w:rStyle w:val="Bold"/>
        </w:rPr>
      </w:pPr>
      <w:r>
        <w:rPr>
          <w:rStyle w:val="Bold"/>
        </w:rPr>
        <w:t>6. </w:t>
      </w:r>
      <w:r w:rsidRPr="00831F48">
        <w:rPr>
          <w:rStyle w:val="Bold"/>
        </w:rPr>
        <w:t>Персонал, що виконує процедуру</w:t>
      </w:r>
    </w:p>
    <w:p w14:paraId="6F0BAD66" w14:textId="77777777" w:rsidR="003D307A" w:rsidRPr="007D39B5" w:rsidRDefault="003D307A" w:rsidP="003D307A">
      <w:pPr>
        <w:pStyle w:val="ShiftAlt"/>
      </w:pPr>
      <w:r>
        <w:t>6.1. </w:t>
      </w:r>
      <w:r w:rsidRPr="007D39B5">
        <w:t xml:space="preserve">Виконує медичний персонал </w:t>
      </w:r>
      <w:r>
        <w:t>ЗОЗ</w:t>
      </w:r>
      <w:r w:rsidRPr="007D39B5">
        <w:t xml:space="preserve">, </w:t>
      </w:r>
      <w:r>
        <w:t xml:space="preserve">який </w:t>
      </w:r>
      <w:r w:rsidRPr="007D39B5">
        <w:t>прой</w:t>
      </w:r>
      <w:r>
        <w:t>шов навчання та здобув</w:t>
      </w:r>
      <w:r w:rsidRPr="007D39B5">
        <w:t xml:space="preserve"> сертифікат</w:t>
      </w:r>
      <w:r>
        <w:t xml:space="preserve"> або </w:t>
      </w:r>
      <w:r w:rsidRPr="007D39B5">
        <w:t>довідк</w:t>
      </w:r>
      <w:r>
        <w:t>у</w:t>
      </w:r>
      <w:r w:rsidRPr="007D39B5">
        <w:t xml:space="preserve"> строком</w:t>
      </w:r>
      <w:r>
        <w:t xml:space="preserve"> на </w:t>
      </w:r>
      <w:r w:rsidRPr="007D39B5">
        <w:t>один рік.</w:t>
      </w:r>
    </w:p>
    <w:p w14:paraId="2E080A95" w14:textId="77777777" w:rsidR="003D307A" w:rsidRPr="007D39B5" w:rsidRDefault="003D307A" w:rsidP="003D307A">
      <w:pPr>
        <w:pStyle w:val="ShiftAlt"/>
      </w:pPr>
    </w:p>
    <w:p w14:paraId="058AB898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7</w:t>
      </w:r>
      <w:r w:rsidRPr="00CA1074">
        <w:rPr>
          <w:rStyle w:val="Bold"/>
        </w:rPr>
        <w:t>. Технічні засоби, сировина</w:t>
      </w:r>
      <w:r>
        <w:rPr>
          <w:rStyle w:val="Bold"/>
        </w:rPr>
        <w:t xml:space="preserve"> та </w:t>
      </w:r>
      <w:r w:rsidRPr="00CA1074">
        <w:rPr>
          <w:rStyle w:val="Bold"/>
        </w:rPr>
        <w:t>матеріали</w:t>
      </w:r>
    </w:p>
    <w:p w14:paraId="35D8571E" w14:textId="77777777" w:rsidR="003D307A" w:rsidRPr="007D39B5" w:rsidRDefault="003D307A" w:rsidP="003D307A">
      <w:pPr>
        <w:pStyle w:val="ShiftAlt"/>
      </w:pPr>
      <w:r>
        <w:t>7.1. </w:t>
      </w:r>
      <w:r w:rsidRPr="007D39B5">
        <w:t>Холодильне обладнання</w:t>
      </w:r>
      <w:r>
        <w:t xml:space="preserve">: </w:t>
      </w:r>
      <w:r w:rsidRPr="007D39B5">
        <w:t>холодильник, морозильна камера</w:t>
      </w:r>
      <w:r>
        <w:t>.</w:t>
      </w:r>
    </w:p>
    <w:p w14:paraId="4792E0B5" w14:textId="77777777" w:rsidR="003D307A" w:rsidRPr="007D39B5" w:rsidRDefault="003D307A" w:rsidP="003D307A">
      <w:pPr>
        <w:pStyle w:val="ShiftAlt"/>
      </w:pPr>
      <w:r>
        <w:t>7.2. Т</w:t>
      </w:r>
      <w:r w:rsidRPr="007D39B5">
        <w:t>ермоконтейнери, медичні сумки-холодильники</w:t>
      </w:r>
      <w:r>
        <w:t>.</w:t>
      </w:r>
    </w:p>
    <w:p w14:paraId="68C34C2E" w14:textId="77777777" w:rsidR="003D307A" w:rsidRPr="007D39B5" w:rsidRDefault="003D307A" w:rsidP="003D307A">
      <w:pPr>
        <w:pStyle w:val="ShiftAlt"/>
      </w:pPr>
      <w:r>
        <w:t>7.3. </w:t>
      </w:r>
      <w:proofErr w:type="spellStart"/>
      <w:r>
        <w:t>Х</w:t>
      </w:r>
      <w:r w:rsidRPr="007D39B5">
        <w:t>олодоелементи</w:t>
      </w:r>
      <w:proofErr w:type="spellEnd"/>
      <w:r>
        <w:t>.</w:t>
      </w:r>
    </w:p>
    <w:p w14:paraId="274E650B" w14:textId="77777777" w:rsidR="003D307A" w:rsidRPr="007D39B5" w:rsidRDefault="003D307A" w:rsidP="003D307A">
      <w:pPr>
        <w:pStyle w:val="ShiftAlt"/>
      </w:pPr>
      <w:r>
        <w:t>7.4. Т</w:t>
      </w:r>
      <w:r w:rsidRPr="007D39B5">
        <w:t>ермоіндикатори, термометри, термографи</w:t>
      </w:r>
      <w:r>
        <w:t xml:space="preserve"> та </w:t>
      </w:r>
      <w:proofErr w:type="spellStart"/>
      <w:r w:rsidRPr="007D39B5">
        <w:t>термотестери</w:t>
      </w:r>
      <w:proofErr w:type="spellEnd"/>
      <w:r>
        <w:t>.</w:t>
      </w:r>
    </w:p>
    <w:p w14:paraId="058712CB" w14:textId="77777777" w:rsidR="003D307A" w:rsidRPr="007D39B5" w:rsidRDefault="003D307A" w:rsidP="003D307A">
      <w:pPr>
        <w:pStyle w:val="ShiftAlt"/>
      </w:pPr>
      <w:r>
        <w:t>7.5. М</w:t>
      </w:r>
      <w:r w:rsidRPr="007D39B5">
        <w:t>едичні імунобіологічні препарати (вакцини).</w:t>
      </w:r>
    </w:p>
    <w:p w14:paraId="29E8A746" w14:textId="77777777" w:rsidR="003D307A" w:rsidRPr="007D39B5" w:rsidRDefault="003D307A" w:rsidP="003D307A">
      <w:pPr>
        <w:pStyle w:val="ShiftAlt"/>
      </w:pPr>
    </w:p>
    <w:p w14:paraId="5D6604BD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8</w:t>
      </w:r>
      <w:r w:rsidRPr="00CA1074">
        <w:rPr>
          <w:rStyle w:val="Bold"/>
        </w:rPr>
        <w:t>.</w:t>
      </w:r>
      <w:r w:rsidRPr="00206C51" w:rsidDel="00851212">
        <w:rPr>
          <w:rStyle w:val="Bold"/>
        </w:rPr>
        <w:t xml:space="preserve"> </w:t>
      </w:r>
      <w:r w:rsidRPr="00CA1074">
        <w:rPr>
          <w:rStyle w:val="Bold"/>
        </w:rPr>
        <w:t>Забезпечення належних умов зберігання, транспортування, приймання</w:t>
      </w:r>
      <w:r>
        <w:rPr>
          <w:rStyle w:val="Bold"/>
        </w:rPr>
        <w:t xml:space="preserve"> та </w:t>
      </w:r>
      <w:r w:rsidRPr="00CA1074">
        <w:rPr>
          <w:rStyle w:val="Bold"/>
        </w:rPr>
        <w:t xml:space="preserve">обліку </w:t>
      </w:r>
      <w:r>
        <w:rPr>
          <w:rStyle w:val="Bold"/>
        </w:rPr>
        <w:t>МІБП</w:t>
      </w:r>
    </w:p>
    <w:p w14:paraId="2DD0BE79" w14:textId="77777777" w:rsidR="003D307A" w:rsidRPr="00090F49" w:rsidRDefault="003D307A" w:rsidP="003D307A">
      <w:pPr>
        <w:pStyle w:val="ShiftAlt"/>
      </w:pPr>
      <w:r>
        <w:t>8.1. Д</w:t>
      </w:r>
      <w:r w:rsidRPr="00090F49">
        <w:t xml:space="preserve">отримуйте відповідних температурних умов зберігання вакцин, </w:t>
      </w:r>
      <w:r>
        <w:t>які зазначені</w:t>
      </w:r>
      <w:r w:rsidRPr="00090F49">
        <w:t xml:space="preserve"> в</w:t>
      </w:r>
      <w:r w:rsidRPr="00427CA3">
        <w:t> </w:t>
      </w:r>
      <w:r w:rsidRPr="00CA1074">
        <w:t>інструкціях про застосування кожного препарату</w:t>
      </w:r>
      <w:r>
        <w:t>.</w:t>
      </w:r>
    </w:p>
    <w:p w14:paraId="3C27EC71" w14:textId="77777777" w:rsidR="003D307A" w:rsidRDefault="003D307A" w:rsidP="003D307A">
      <w:pPr>
        <w:pStyle w:val="ShiftAlt"/>
      </w:pPr>
      <w:r>
        <w:t>8.2. Н</w:t>
      </w:r>
      <w:r w:rsidRPr="00090F49">
        <w:t xml:space="preserve">е </w:t>
      </w:r>
      <w:r w:rsidRPr="00427CA3">
        <w:t>зберіга</w:t>
      </w:r>
      <w:r>
        <w:t xml:space="preserve">йте </w:t>
      </w:r>
      <w:r w:rsidRPr="00090F49">
        <w:t>препарат</w:t>
      </w:r>
      <w:r>
        <w:t>и за </w:t>
      </w:r>
      <w:r w:rsidRPr="00CA1074">
        <w:t>підвищеної температури</w:t>
      </w:r>
      <w:r>
        <w:t>.</w:t>
      </w:r>
    </w:p>
    <w:p w14:paraId="62A685A3" w14:textId="77777777" w:rsidR="003D307A" w:rsidRPr="00090F49" w:rsidRDefault="003D307A" w:rsidP="003D307A">
      <w:pPr>
        <w:pStyle w:val="ShiftAlt"/>
      </w:pPr>
      <w:r>
        <w:t xml:space="preserve">8.3. Не допускайте потрапляння </w:t>
      </w:r>
      <w:r w:rsidRPr="00B634C9">
        <w:t>прям</w:t>
      </w:r>
      <w:r>
        <w:t>их</w:t>
      </w:r>
      <w:r w:rsidRPr="00B634C9">
        <w:t xml:space="preserve"> сонячн</w:t>
      </w:r>
      <w:r>
        <w:t>их</w:t>
      </w:r>
      <w:r w:rsidRPr="00B634C9">
        <w:t xml:space="preserve"> пром</w:t>
      </w:r>
      <w:r>
        <w:t>енів на препарати.</w:t>
      </w:r>
    </w:p>
    <w:p w14:paraId="2961AF35" w14:textId="77777777" w:rsidR="003D307A" w:rsidRPr="00090F49" w:rsidRDefault="003D307A" w:rsidP="003D307A">
      <w:pPr>
        <w:pStyle w:val="ShiftAlt"/>
      </w:pPr>
      <w:r>
        <w:t>8.4. Н</w:t>
      </w:r>
      <w:r w:rsidRPr="00090F49">
        <w:t xml:space="preserve">е </w:t>
      </w:r>
      <w:r w:rsidRPr="00427CA3">
        <w:t>заморожу</w:t>
      </w:r>
      <w:r>
        <w:t>йте</w:t>
      </w:r>
      <w:r w:rsidRPr="00090F49">
        <w:t xml:space="preserve"> </w:t>
      </w:r>
      <w:r w:rsidRPr="00B634C9">
        <w:t>адсорбован</w:t>
      </w:r>
      <w:r>
        <w:t>і</w:t>
      </w:r>
      <w:r w:rsidRPr="00090F49">
        <w:t xml:space="preserve"> </w:t>
      </w:r>
      <w:r w:rsidRPr="00427CA3">
        <w:t>ва</w:t>
      </w:r>
      <w:r w:rsidRPr="00B634C9">
        <w:t>кц</w:t>
      </w:r>
      <w:r>
        <w:t>ини</w:t>
      </w:r>
      <w:r w:rsidRPr="00090F49">
        <w:t>, вакцини проти вірусного гепатиту </w:t>
      </w:r>
      <w:r w:rsidRPr="00B634C9">
        <w:t>B</w:t>
      </w:r>
      <w:r>
        <w:t>.</w:t>
      </w:r>
    </w:p>
    <w:p w14:paraId="2C78DB41" w14:textId="5A86F287" w:rsidR="00DC607D" w:rsidRDefault="00DC607D" w:rsidP="0085635C"/>
    <w:p w14:paraId="06130927" w14:textId="72378CE5" w:rsidR="003D307A" w:rsidRDefault="003D307A" w:rsidP="0085635C">
      <w:r w:rsidRPr="003D307A">
        <w:rPr>
          <w:noProof/>
          <w:lang w:val="ru-RU" w:eastAsia="ru-RU"/>
        </w:rPr>
        <w:drawing>
          <wp:inline distT="0" distB="0" distL="0" distR="0" wp14:anchorId="4E75B26A" wp14:editId="4108FD60">
            <wp:extent cx="4762500" cy="640080"/>
            <wp:effectExtent l="0" t="0" r="0" b="7620"/>
            <wp:docPr id="1" name="Рисунок 1" descr="C:\Users\Le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21B4" w14:textId="5C5B13CB" w:rsidR="003D307A" w:rsidRDefault="003D307A" w:rsidP="0085635C"/>
    <w:p w14:paraId="671BD7D1" w14:textId="77777777" w:rsidR="003D307A" w:rsidRPr="00090F49" w:rsidRDefault="003D307A" w:rsidP="003D307A">
      <w:pPr>
        <w:pStyle w:val="ShiftAlt"/>
      </w:pPr>
      <w:r>
        <w:t>8.5. К</w:t>
      </w:r>
      <w:r w:rsidRPr="00090F49">
        <w:t>еруйтеся інструкціями із</w:t>
      </w:r>
      <w:r w:rsidRPr="00427CA3">
        <w:t> </w:t>
      </w:r>
      <w:r w:rsidRPr="00CA1074">
        <w:t>застосування вакцин</w:t>
      </w:r>
      <w:r>
        <w:t xml:space="preserve">, коли </w:t>
      </w:r>
      <w:r w:rsidRPr="00090F49">
        <w:t>визнач</w:t>
      </w:r>
      <w:r>
        <w:t>аєте</w:t>
      </w:r>
      <w:r w:rsidRPr="00090F49">
        <w:t xml:space="preserve"> режим</w:t>
      </w:r>
      <w:r w:rsidRPr="00B634C9">
        <w:t xml:space="preserve"> збері</w:t>
      </w:r>
      <w:r w:rsidRPr="00CA1074">
        <w:t>гання і транспортування</w:t>
      </w:r>
      <w:r>
        <w:t>.</w:t>
      </w:r>
    </w:p>
    <w:p w14:paraId="323367E2" w14:textId="77777777" w:rsidR="003D307A" w:rsidRPr="00090F49" w:rsidRDefault="003D307A" w:rsidP="003D307A">
      <w:pPr>
        <w:pStyle w:val="ShiftAlt"/>
      </w:pPr>
      <w:r>
        <w:t>8.6. Д</w:t>
      </w:r>
      <w:r w:rsidRPr="00090F49">
        <w:t>отримуйт</w:t>
      </w:r>
      <w:r>
        <w:t>е</w:t>
      </w:r>
      <w:r w:rsidRPr="00090F49">
        <w:t xml:space="preserve"> оптимальної температури </w:t>
      </w:r>
      <w:r w:rsidRPr="00F4610D">
        <w:t>від +2</w:t>
      </w:r>
      <w:r>
        <w:t xml:space="preserve"> до </w:t>
      </w:r>
      <w:r w:rsidRPr="00F4610D">
        <w:t>+8</w:t>
      </w:r>
      <w:r>
        <w:t> </w:t>
      </w:r>
      <w:r w:rsidRPr="00F4610D">
        <w:t>°С</w:t>
      </w:r>
      <w:r>
        <w:t>, коли</w:t>
      </w:r>
      <w:r w:rsidRPr="00090F49">
        <w:t xml:space="preserve"> </w:t>
      </w:r>
      <w:r w:rsidRPr="00B634C9">
        <w:t>зберіга</w:t>
      </w:r>
      <w:r>
        <w:t>єте</w:t>
      </w:r>
      <w:r w:rsidRPr="00090F49">
        <w:t xml:space="preserve"> і</w:t>
      </w:r>
      <w:r w:rsidRPr="00427CA3">
        <w:t> </w:t>
      </w:r>
      <w:r w:rsidRPr="00CA1074">
        <w:t>транспорту</w:t>
      </w:r>
      <w:r>
        <w:t>єте</w:t>
      </w:r>
      <w:r w:rsidRPr="00090F49">
        <w:t xml:space="preserve"> вакцин</w:t>
      </w:r>
      <w:r>
        <w:t>и.</w:t>
      </w:r>
    </w:p>
    <w:p w14:paraId="792525B6" w14:textId="77777777" w:rsidR="003D307A" w:rsidRPr="00090F49" w:rsidRDefault="003D307A" w:rsidP="003D307A">
      <w:pPr>
        <w:pStyle w:val="ShiftAlt"/>
      </w:pPr>
      <w:r>
        <w:t>8.7. З</w:t>
      </w:r>
      <w:r w:rsidRPr="00090F49">
        <w:t xml:space="preserve">берігайте вакцини </w:t>
      </w:r>
      <w:r w:rsidRPr="00B634C9">
        <w:t>в </w:t>
      </w:r>
      <w:r>
        <w:t>темному місці.</w:t>
      </w:r>
    </w:p>
    <w:p w14:paraId="2124A471" w14:textId="77777777" w:rsidR="003D307A" w:rsidRPr="00CA1074" w:rsidRDefault="003D307A" w:rsidP="003D307A">
      <w:pPr>
        <w:pStyle w:val="ShiftAlt"/>
      </w:pPr>
      <w:r>
        <w:t>8.8. В</w:t>
      </w:r>
      <w:r w:rsidRPr="00090F49">
        <w:t xml:space="preserve">икористовуйте </w:t>
      </w:r>
      <w:proofErr w:type="spellStart"/>
      <w:r w:rsidRPr="00090F49">
        <w:t>ліофілізовані</w:t>
      </w:r>
      <w:proofErr w:type="spellEnd"/>
      <w:r w:rsidRPr="00090F49">
        <w:t xml:space="preserve"> вакцини разом із</w:t>
      </w:r>
      <w:r w:rsidRPr="00427CA3">
        <w:t> </w:t>
      </w:r>
      <w:r w:rsidRPr="00CA1074">
        <w:t>розчинником одного виробника.</w:t>
      </w:r>
    </w:p>
    <w:p w14:paraId="15C53721" w14:textId="77777777" w:rsidR="003D307A" w:rsidRPr="007D39B5" w:rsidRDefault="003D307A" w:rsidP="003D307A">
      <w:pPr>
        <w:pStyle w:val="ShiftAlt"/>
      </w:pPr>
    </w:p>
    <w:p w14:paraId="49E0A9AE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9.</w:t>
      </w:r>
      <w:r w:rsidRPr="00CA1074">
        <w:rPr>
          <w:rStyle w:val="Bold"/>
        </w:rPr>
        <w:t> Структура «холодового ланцюга»</w:t>
      </w:r>
    </w:p>
    <w:p w14:paraId="4ADA56FF" w14:textId="77777777" w:rsidR="003D307A" w:rsidRPr="003D307A" w:rsidRDefault="003D307A" w:rsidP="003D307A">
      <w:pPr>
        <w:pStyle w:val="ShiftAlt"/>
        <w:rPr>
          <w:rStyle w:val="Bold"/>
          <w:b w:val="0"/>
          <w:bCs w:val="0"/>
        </w:rPr>
      </w:pPr>
      <w:r w:rsidRPr="003D307A">
        <w:rPr>
          <w:rStyle w:val="Bold"/>
          <w:b w:val="0"/>
          <w:bCs w:val="0"/>
        </w:rPr>
        <w:t>9.1. Складові «холодового ланцюга»:</w:t>
      </w:r>
    </w:p>
    <w:p w14:paraId="354845DC" w14:textId="77777777" w:rsidR="003D307A" w:rsidRPr="007D39B5" w:rsidRDefault="003D307A" w:rsidP="003D307A">
      <w:pPr>
        <w:pStyle w:val="a0"/>
      </w:pPr>
      <w:r w:rsidRPr="007D39B5">
        <w:t>спеціально підготовлений персонал, який має допуск</w:t>
      </w:r>
      <w:r>
        <w:t xml:space="preserve"> до </w:t>
      </w:r>
      <w:r w:rsidRPr="007D39B5">
        <w:t>роботи з вакцинами;</w:t>
      </w:r>
    </w:p>
    <w:p w14:paraId="30ACDEDE" w14:textId="77777777" w:rsidR="003D307A" w:rsidRPr="007D39B5" w:rsidRDefault="003D307A" w:rsidP="003D307A">
      <w:pPr>
        <w:pStyle w:val="a0"/>
      </w:pPr>
      <w:r w:rsidRPr="007D39B5">
        <w:t>справн</w:t>
      </w:r>
      <w:r>
        <w:t>е та </w:t>
      </w:r>
      <w:r w:rsidRPr="007D39B5">
        <w:t>повірен</w:t>
      </w:r>
      <w:r>
        <w:t>е</w:t>
      </w:r>
      <w:r w:rsidRPr="007D39B5">
        <w:t xml:space="preserve"> холодильн</w:t>
      </w:r>
      <w:r>
        <w:t>е</w:t>
      </w:r>
      <w:r w:rsidRPr="007D39B5">
        <w:t xml:space="preserve"> обладнання;</w:t>
      </w:r>
    </w:p>
    <w:p w14:paraId="72EEAB3C" w14:textId="77777777" w:rsidR="003D307A" w:rsidRPr="007D39B5" w:rsidRDefault="003D307A" w:rsidP="003D307A">
      <w:pPr>
        <w:pStyle w:val="a0"/>
      </w:pPr>
      <w:r w:rsidRPr="007D39B5">
        <w:t>контроль</w:t>
      </w:r>
      <w:r>
        <w:t xml:space="preserve"> за </w:t>
      </w:r>
      <w:r w:rsidRPr="007D39B5">
        <w:t>дотриманням температурного режиму</w:t>
      </w:r>
      <w:r>
        <w:t xml:space="preserve"> на </w:t>
      </w:r>
      <w:r w:rsidRPr="007D39B5">
        <w:t>всіх його етапах.</w:t>
      </w:r>
    </w:p>
    <w:p w14:paraId="492C0CAA" w14:textId="77777777" w:rsidR="003D307A" w:rsidRPr="007D39B5" w:rsidRDefault="003D307A" w:rsidP="003D307A">
      <w:pPr>
        <w:pStyle w:val="ShiftAlt"/>
      </w:pPr>
      <w:r>
        <w:t>9.</w:t>
      </w:r>
      <w:r w:rsidRPr="007D39B5">
        <w:t>2. Рівні «холодового ланцюга»:</w:t>
      </w:r>
    </w:p>
    <w:p w14:paraId="39EEB6F1" w14:textId="77777777" w:rsidR="003D307A" w:rsidRPr="007D39B5" w:rsidRDefault="003D307A" w:rsidP="003D307A">
      <w:pPr>
        <w:pStyle w:val="a0"/>
      </w:pPr>
      <w:r w:rsidRPr="007D39B5">
        <w:t>1-й — підприємство-виробник вакцини;</w:t>
      </w:r>
    </w:p>
    <w:p w14:paraId="15ED0595" w14:textId="77777777" w:rsidR="003D307A" w:rsidRPr="007D39B5" w:rsidRDefault="003D307A" w:rsidP="003D307A">
      <w:pPr>
        <w:pStyle w:val="a0"/>
      </w:pPr>
      <w:r w:rsidRPr="007D39B5">
        <w:t>2-й — склади оптового зберігання (регіональні);</w:t>
      </w:r>
    </w:p>
    <w:p w14:paraId="40FBEA4A" w14:textId="77777777" w:rsidR="003D307A" w:rsidRPr="007D39B5" w:rsidRDefault="003D307A" w:rsidP="003D307A">
      <w:pPr>
        <w:pStyle w:val="a0"/>
      </w:pPr>
      <w:r w:rsidRPr="007D39B5">
        <w:t>3-й — районні</w:t>
      </w:r>
      <w:r>
        <w:t xml:space="preserve"> та </w:t>
      </w:r>
      <w:r w:rsidRPr="007D39B5">
        <w:t>міські ЗОЗ (територіальні);</w:t>
      </w:r>
    </w:p>
    <w:p w14:paraId="1B57E576" w14:textId="77777777" w:rsidR="003D307A" w:rsidRPr="007D39B5" w:rsidRDefault="003D307A" w:rsidP="003D307A">
      <w:pPr>
        <w:pStyle w:val="a0"/>
      </w:pPr>
      <w:r w:rsidRPr="007D39B5">
        <w:lastRenderedPageBreak/>
        <w:t>4-й — пункти щеплень ЗОЗ (дільничні лікарні, амбулаторії, дитячі поліклініки, пологові будинки тощо).</w:t>
      </w:r>
    </w:p>
    <w:p w14:paraId="160AABC6" w14:textId="77777777" w:rsidR="003D307A" w:rsidRPr="007D39B5" w:rsidRDefault="003D307A" w:rsidP="003D307A">
      <w:pPr>
        <w:pStyle w:val="ShiftAlt"/>
      </w:pPr>
      <w:r>
        <w:t>9</w:t>
      </w:r>
      <w:r w:rsidRPr="007D39B5">
        <w:t>.3. Облік показників «холодового ланцюга»:</w:t>
      </w:r>
    </w:p>
    <w:p w14:paraId="326C7E7B" w14:textId="77777777" w:rsidR="003D307A" w:rsidRPr="007D39B5" w:rsidRDefault="003D307A" w:rsidP="003D307A">
      <w:pPr>
        <w:pStyle w:val="a0"/>
      </w:pPr>
      <w:r w:rsidRPr="007D39B5">
        <w:t>реєстрація показників</w:t>
      </w:r>
      <w:r>
        <w:t xml:space="preserve"> у </w:t>
      </w:r>
      <w:r w:rsidRPr="007D39B5">
        <w:t>журналах обліку</w:t>
      </w:r>
      <w:r>
        <w:t xml:space="preserve"> на </w:t>
      </w:r>
      <w:r w:rsidRPr="007D39B5">
        <w:t>всіх рівнях «холодового ланцюга»;</w:t>
      </w:r>
    </w:p>
    <w:p w14:paraId="073D0D54" w14:textId="77777777" w:rsidR="003D307A" w:rsidRPr="007D39B5" w:rsidRDefault="003D307A" w:rsidP="003D307A">
      <w:pPr>
        <w:pStyle w:val="a0"/>
      </w:pPr>
      <w:r w:rsidRPr="007D39B5">
        <w:t>вимірювання показників температурного режиму двічі</w:t>
      </w:r>
      <w:r>
        <w:t xml:space="preserve"> на </w:t>
      </w:r>
      <w:r w:rsidRPr="007D39B5">
        <w:t>добу;</w:t>
      </w:r>
    </w:p>
    <w:p w14:paraId="4C34FE6C" w14:textId="77777777" w:rsidR="003D307A" w:rsidRPr="007D39B5" w:rsidRDefault="003D307A" w:rsidP="003D307A">
      <w:pPr>
        <w:pStyle w:val="a0"/>
      </w:pPr>
      <w:r w:rsidRPr="007D39B5">
        <w:t>реєстрація даних щодо вакцини — торг</w:t>
      </w:r>
      <w:r>
        <w:t>о</w:t>
      </w:r>
      <w:r w:rsidRPr="007D39B5">
        <w:t>вельна назва, кількість доз, номер серії, строк придатності, дата отримання, прізвище відповідальної особи;</w:t>
      </w:r>
    </w:p>
    <w:p w14:paraId="281143D6" w14:textId="77777777" w:rsidR="003D307A" w:rsidRPr="007D39B5" w:rsidRDefault="003D307A" w:rsidP="003D307A">
      <w:pPr>
        <w:pStyle w:val="a0"/>
      </w:pPr>
      <w:r w:rsidRPr="007D39B5">
        <w:t>облік даних щодо кількості отриманих і використаних МІБП.</w:t>
      </w:r>
    </w:p>
    <w:p w14:paraId="396430F9" w14:textId="77777777" w:rsidR="003D307A" w:rsidRPr="007D39B5" w:rsidRDefault="003D307A" w:rsidP="003D307A">
      <w:pPr>
        <w:pStyle w:val="ShiftAlt"/>
      </w:pPr>
    </w:p>
    <w:p w14:paraId="53B79E31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10</w:t>
      </w:r>
      <w:r w:rsidRPr="00CA1074">
        <w:rPr>
          <w:rStyle w:val="Bold"/>
        </w:rPr>
        <w:t>. Обладнання «холодового ланцюга»</w:t>
      </w:r>
    </w:p>
    <w:p w14:paraId="463CA08E" w14:textId="77777777" w:rsidR="003D307A" w:rsidRPr="00090F49" w:rsidRDefault="003D307A" w:rsidP="003D307A">
      <w:pPr>
        <w:pStyle w:val="ShiftAlt"/>
      </w:pPr>
      <w:r>
        <w:t>10.1. </w:t>
      </w:r>
      <w:r w:rsidRPr="00090F49">
        <w:t>Морозильники</w:t>
      </w:r>
      <w:r>
        <w:t>, щоб</w:t>
      </w:r>
      <w:r w:rsidRPr="00090F49">
        <w:t xml:space="preserve"> </w:t>
      </w:r>
      <w:r w:rsidRPr="00427CA3">
        <w:t>заморожува</w:t>
      </w:r>
      <w:r>
        <w:t>ти</w:t>
      </w:r>
      <w:r w:rsidRPr="00090F49">
        <w:t xml:space="preserve"> </w:t>
      </w:r>
      <w:proofErr w:type="spellStart"/>
      <w:r w:rsidRPr="00090F49">
        <w:t>холодоелемент</w:t>
      </w:r>
      <w:r>
        <w:t>и</w:t>
      </w:r>
      <w:proofErr w:type="spellEnd"/>
      <w:r w:rsidRPr="00090F49">
        <w:t>.</w:t>
      </w:r>
    </w:p>
    <w:p w14:paraId="1EE850DD" w14:textId="77777777" w:rsidR="003D307A" w:rsidRPr="00CA1074" w:rsidRDefault="003D307A" w:rsidP="003D307A">
      <w:pPr>
        <w:pStyle w:val="ShiftAlt"/>
      </w:pPr>
      <w:r>
        <w:t>10.2. </w:t>
      </w:r>
      <w:r w:rsidRPr="00090F49">
        <w:t>Побутові холодильники</w:t>
      </w:r>
      <w:r>
        <w:t xml:space="preserve">, щоб </w:t>
      </w:r>
      <w:r w:rsidRPr="00427CA3">
        <w:t>зберіг</w:t>
      </w:r>
      <w:r>
        <w:t>ати</w:t>
      </w:r>
      <w:r w:rsidRPr="00427CA3">
        <w:t xml:space="preserve"> вакцин</w:t>
      </w:r>
      <w:r>
        <w:t>и на </w:t>
      </w:r>
      <w:r w:rsidRPr="00427CA3">
        <w:t>3-му</w:t>
      </w:r>
      <w:r>
        <w:t xml:space="preserve"> та </w:t>
      </w:r>
      <w:r w:rsidRPr="00CA1074">
        <w:t>4-му рівнях.</w:t>
      </w:r>
    </w:p>
    <w:p w14:paraId="5172E9A1" w14:textId="77777777" w:rsidR="003D307A" w:rsidRPr="00CA1074" w:rsidRDefault="003D307A" w:rsidP="003D307A">
      <w:pPr>
        <w:pStyle w:val="ShiftAlt"/>
      </w:pPr>
      <w:r>
        <w:t>10.3. </w:t>
      </w:r>
      <w:r w:rsidRPr="00CA1074">
        <w:t xml:space="preserve">Термоконтейнери — ємності з кришками, що герметично закриваються, </w:t>
      </w:r>
      <w:r>
        <w:t xml:space="preserve">щоб </w:t>
      </w:r>
      <w:r w:rsidRPr="00427CA3">
        <w:t>транспортува</w:t>
      </w:r>
      <w:r>
        <w:t xml:space="preserve">ти </w:t>
      </w:r>
      <w:r w:rsidRPr="00090F49">
        <w:t>вакцини, тимчасового зберіга</w:t>
      </w:r>
      <w:r>
        <w:t>ти</w:t>
      </w:r>
      <w:r w:rsidRPr="00090F49">
        <w:t xml:space="preserve"> в </w:t>
      </w:r>
      <w:r w:rsidRPr="00427CA3">
        <w:t>екстрених випадках</w:t>
      </w:r>
      <w:r>
        <w:t xml:space="preserve"> у </w:t>
      </w:r>
      <w:r w:rsidRPr="00CA1074">
        <w:t>разі відключення електроенергії.</w:t>
      </w:r>
    </w:p>
    <w:p w14:paraId="407999EF" w14:textId="77777777" w:rsidR="003D307A" w:rsidRPr="00CA1074" w:rsidRDefault="003D307A" w:rsidP="003D307A">
      <w:pPr>
        <w:pStyle w:val="ShiftAlt"/>
      </w:pPr>
      <w:r>
        <w:t>10.4. </w:t>
      </w:r>
      <w:r w:rsidRPr="00CA1074">
        <w:t>Медична сумка-холодильник</w:t>
      </w:r>
      <w:r>
        <w:t xml:space="preserve">, щоб </w:t>
      </w:r>
      <w:r w:rsidRPr="00427CA3">
        <w:t>транспортува</w:t>
      </w:r>
      <w:r>
        <w:t>ти</w:t>
      </w:r>
      <w:r w:rsidRPr="00090F49">
        <w:t xml:space="preserve"> вакцини</w:t>
      </w:r>
      <w:r>
        <w:t>. В</w:t>
      </w:r>
      <w:r w:rsidRPr="00090F49">
        <w:t>нутрішня поверхня сумки вкрита матеріалом, що</w:t>
      </w:r>
      <w:r w:rsidRPr="00CA1074">
        <w:t> дає змогу проводити дезінфекцію.</w:t>
      </w:r>
    </w:p>
    <w:p w14:paraId="14133480" w14:textId="77777777" w:rsidR="003D307A" w:rsidRPr="00CA1074" w:rsidRDefault="003D307A" w:rsidP="003D307A">
      <w:pPr>
        <w:pStyle w:val="ShiftAlt"/>
      </w:pPr>
      <w:r>
        <w:t>10.5. </w:t>
      </w:r>
      <w:proofErr w:type="spellStart"/>
      <w:r w:rsidRPr="00CA1074">
        <w:t>Холодоелемент</w:t>
      </w:r>
      <w:proofErr w:type="spellEnd"/>
      <w:r w:rsidRPr="00CA1074">
        <w:t> — ємність із герметично закритою пробкою, яку</w:t>
      </w:r>
      <w:r>
        <w:t xml:space="preserve"> </w:t>
      </w:r>
      <w:r w:rsidRPr="00090F49">
        <w:t>заповню</w:t>
      </w:r>
      <w:r>
        <w:t>йте</w:t>
      </w:r>
      <w:r w:rsidRPr="00090F49">
        <w:t xml:space="preserve"> водою або </w:t>
      </w:r>
      <w:r w:rsidRPr="00427CA3">
        <w:t>спеціальною рідиною. Для </w:t>
      </w:r>
      <w:r>
        <w:t xml:space="preserve">того щоб </w:t>
      </w:r>
      <w:r w:rsidRPr="00090F49">
        <w:t>запобі</w:t>
      </w:r>
      <w:r>
        <w:t>гти</w:t>
      </w:r>
      <w:r w:rsidRPr="00090F49">
        <w:t xml:space="preserve"> прямому контакту вакцини з </w:t>
      </w:r>
      <w:proofErr w:type="spellStart"/>
      <w:r w:rsidRPr="00427CA3">
        <w:t>холодоелементом</w:t>
      </w:r>
      <w:proofErr w:type="spellEnd"/>
      <w:r>
        <w:t>,</w:t>
      </w:r>
      <w:r w:rsidRPr="00090F49">
        <w:t xml:space="preserve"> між ними розміщуйте термоізоляційний матеріал</w:t>
      </w:r>
      <w:r>
        <w:t xml:space="preserve">: </w:t>
      </w:r>
      <w:r w:rsidRPr="00090F49">
        <w:t>картон, пінопласт. Перед</w:t>
      </w:r>
      <w:r>
        <w:t xml:space="preserve"> тим, як</w:t>
      </w:r>
      <w:r w:rsidRPr="00090F49">
        <w:t xml:space="preserve"> </w:t>
      </w:r>
      <w:r w:rsidRPr="00427CA3">
        <w:t>використа</w:t>
      </w:r>
      <w:r>
        <w:t>ти</w:t>
      </w:r>
      <w:r w:rsidRPr="00090F49">
        <w:t xml:space="preserve"> заморожений </w:t>
      </w:r>
      <w:proofErr w:type="spellStart"/>
      <w:r w:rsidRPr="00090F49">
        <w:t>холодоелемент</w:t>
      </w:r>
      <w:proofErr w:type="spellEnd"/>
      <w:r>
        <w:t xml:space="preserve">, </w:t>
      </w:r>
      <w:r w:rsidRPr="00090F49">
        <w:t>кондиціюйте. У </w:t>
      </w:r>
      <w:r w:rsidRPr="00427CA3">
        <w:t>морозильній камері розміщуйте його</w:t>
      </w:r>
      <w:r>
        <w:t xml:space="preserve"> на </w:t>
      </w:r>
      <w:r w:rsidRPr="00CA1074">
        <w:t>ребро.</w:t>
      </w:r>
    </w:p>
    <w:p w14:paraId="3FD1E1B3" w14:textId="77777777" w:rsidR="003D307A" w:rsidRPr="00427CA3" w:rsidRDefault="003D307A" w:rsidP="003D307A">
      <w:pPr>
        <w:pStyle w:val="ShiftAlt"/>
      </w:pPr>
      <w:r>
        <w:t>10.6. </w:t>
      </w:r>
      <w:r w:rsidRPr="00CA1074">
        <w:t>Термометри — сертифіковані</w:t>
      </w:r>
      <w:r>
        <w:t xml:space="preserve"> та </w:t>
      </w:r>
      <w:r w:rsidRPr="00CA1074">
        <w:t>повірені</w:t>
      </w:r>
      <w:r>
        <w:t>. У</w:t>
      </w:r>
      <w:r w:rsidRPr="00427CA3">
        <w:t> </w:t>
      </w:r>
      <w:r w:rsidRPr="00B634C9">
        <w:t xml:space="preserve">холодильнику </w:t>
      </w:r>
      <w:r w:rsidRPr="008556FB">
        <w:t xml:space="preserve">розміщуйте </w:t>
      </w:r>
      <w:r w:rsidRPr="00090F49">
        <w:t xml:space="preserve">їх </w:t>
      </w:r>
      <w:r w:rsidRPr="00B634C9">
        <w:t>підвішен</w:t>
      </w:r>
      <w:r>
        <w:t xml:space="preserve">ими </w:t>
      </w:r>
      <w:r w:rsidRPr="00090F49">
        <w:t>між полицями</w:t>
      </w:r>
      <w:r>
        <w:t>. У</w:t>
      </w:r>
      <w:r w:rsidRPr="00090F49">
        <w:t> </w:t>
      </w:r>
      <w:r w:rsidRPr="00427CA3">
        <w:t>разі контакту з </w:t>
      </w:r>
      <w:r w:rsidRPr="00CA1074">
        <w:t>поверхнею полиці термометр може фіксувати неправдиві показники температури</w:t>
      </w:r>
      <w:r>
        <w:t>.</w:t>
      </w:r>
      <w:r w:rsidRPr="00090F49">
        <w:t xml:space="preserve"> </w:t>
      </w:r>
      <w:r w:rsidRPr="00427CA3">
        <w:t>Реєстр</w:t>
      </w:r>
      <w:r>
        <w:t>уйте</w:t>
      </w:r>
      <w:r w:rsidRPr="00090F49">
        <w:t xml:space="preserve"> температур</w:t>
      </w:r>
      <w:r>
        <w:t>у</w:t>
      </w:r>
      <w:r w:rsidRPr="00090F49">
        <w:t xml:space="preserve"> холодильника </w:t>
      </w:r>
      <w:r w:rsidRPr="00427CA3">
        <w:t>двічі</w:t>
      </w:r>
      <w:r>
        <w:t xml:space="preserve"> на </w:t>
      </w:r>
      <w:r w:rsidRPr="00427CA3">
        <w:t>добу</w:t>
      </w:r>
      <w:r>
        <w:t xml:space="preserve"> та </w:t>
      </w:r>
      <w:r w:rsidRPr="00090F49">
        <w:t>відмі</w:t>
      </w:r>
      <w:r>
        <w:t>чайте показники</w:t>
      </w:r>
      <w:r w:rsidRPr="00090F49">
        <w:t xml:space="preserve"> в </w:t>
      </w:r>
      <w:r w:rsidRPr="00427CA3">
        <w:t>журналі.</w:t>
      </w:r>
    </w:p>
    <w:p w14:paraId="2D133979" w14:textId="5E501D92" w:rsidR="003D307A" w:rsidRDefault="003D307A" w:rsidP="003D307A">
      <w:pPr>
        <w:pStyle w:val="ShiftAlt"/>
      </w:pPr>
      <w:r>
        <w:t>10.7. </w:t>
      </w:r>
      <w:r w:rsidRPr="00B634C9">
        <w:t>Термоіндикатори</w:t>
      </w:r>
      <w:r>
        <w:t xml:space="preserve"> — </w:t>
      </w:r>
      <w:r w:rsidRPr="00090F49">
        <w:t xml:space="preserve">картки-індикатори, </w:t>
      </w:r>
      <w:proofErr w:type="spellStart"/>
      <w:r w:rsidRPr="00090F49">
        <w:t>термотести</w:t>
      </w:r>
      <w:proofErr w:type="spellEnd"/>
      <w:r>
        <w:t xml:space="preserve"> та </w:t>
      </w:r>
      <w:r w:rsidRPr="00090F49">
        <w:t>індикатори заморожування</w:t>
      </w:r>
      <w:r>
        <w:t xml:space="preserve">. Використовуйте їх </w:t>
      </w:r>
      <w:r w:rsidRPr="00427CA3">
        <w:t>для</w:t>
      </w:r>
      <w:r w:rsidRPr="00B634C9">
        <w:t> </w:t>
      </w:r>
      <w:r w:rsidRPr="00CA1074">
        <w:t>моніторингу температури</w:t>
      </w:r>
      <w:r>
        <w:t xml:space="preserve"> та </w:t>
      </w:r>
      <w:r w:rsidRPr="00CA1074">
        <w:t>фіксації температурного впливу</w:t>
      </w:r>
      <w:r>
        <w:t xml:space="preserve"> на </w:t>
      </w:r>
      <w:r w:rsidRPr="00CA1074">
        <w:t xml:space="preserve">препарат. </w:t>
      </w:r>
      <w:r>
        <w:t>Термоіндикатори</w:t>
      </w:r>
      <w:r w:rsidRPr="00090F49">
        <w:t xml:space="preserve"> реагують</w:t>
      </w:r>
      <w:r>
        <w:t xml:space="preserve"> на </w:t>
      </w:r>
      <w:r w:rsidRPr="00427CA3">
        <w:t>підвищення температури</w:t>
      </w:r>
      <w:r>
        <w:t xml:space="preserve"> та </w:t>
      </w:r>
      <w:r w:rsidRPr="00090F49">
        <w:t>змінюють</w:t>
      </w:r>
      <w:r w:rsidRPr="00427CA3">
        <w:t xml:space="preserve"> колір (</w:t>
      </w:r>
      <w:r w:rsidRPr="00CA1074">
        <w:rPr>
          <w:rStyle w:val="Italic"/>
        </w:rPr>
        <w:t>табл.</w:t>
      </w:r>
      <w:r w:rsidRPr="00090F49">
        <w:t>).</w:t>
      </w:r>
    </w:p>
    <w:p w14:paraId="21CFC29D" w14:textId="77777777" w:rsidR="003D307A" w:rsidRPr="007D39B5" w:rsidRDefault="003D307A" w:rsidP="003D307A">
      <w:pPr>
        <w:pStyle w:val="ShiftAlt"/>
      </w:pPr>
    </w:p>
    <w:p w14:paraId="3A69D182" w14:textId="77777777" w:rsidR="003D307A" w:rsidRPr="003D307A" w:rsidRDefault="003D307A" w:rsidP="003D307A">
      <w:pPr>
        <w:pStyle w:val="ShiftCtrlAlt"/>
        <w:rPr>
          <w:rStyle w:val="Bold"/>
          <w:b/>
          <w:bCs/>
        </w:rPr>
      </w:pPr>
      <w:proofErr w:type="spellStart"/>
      <w:r w:rsidRPr="003D307A">
        <w:rPr>
          <w:rStyle w:val="Bold"/>
          <w:b/>
          <w:bCs/>
        </w:rPr>
        <w:t>Показники</w:t>
      </w:r>
      <w:proofErr w:type="spellEnd"/>
      <w:r w:rsidRPr="003D307A">
        <w:rPr>
          <w:rStyle w:val="Bold"/>
          <w:b/>
          <w:bCs/>
        </w:rPr>
        <w:t xml:space="preserve"> флаконного </w:t>
      </w:r>
      <w:proofErr w:type="spellStart"/>
      <w:r w:rsidRPr="003D307A">
        <w:rPr>
          <w:rStyle w:val="Bold"/>
          <w:b/>
          <w:bCs/>
        </w:rPr>
        <w:t>термоіндикатора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75"/>
        <w:gridCol w:w="6214"/>
      </w:tblGrid>
      <w:tr w:rsidR="003D307A" w:rsidRPr="00CA1074" w14:paraId="779A58A0" w14:textId="77777777" w:rsidTr="00122E60">
        <w:tc>
          <w:tcPr>
            <w:tcW w:w="3794" w:type="dxa"/>
          </w:tcPr>
          <w:p w14:paraId="08974537" w14:textId="77777777" w:rsidR="003D307A" w:rsidRPr="003D307A" w:rsidRDefault="003D307A" w:rsidP="003D307A">
            <w:pPr>
              <w:pStyle w:val="ShiftCtrlAlt"/>
              <w:rPr>
                <w:rStyle w:val="Bold"/>
                <w:b/>
                <w:bCs/>
              </w:rPr>
            </w:pPr>
            <w:proofErr w:type="spellStart"/>
            <w:r w:rsidRPr="003D307A">
              <w:rPr>
                <w:rStyle w:val="Bold"/>
                <w:b/>
                <w:bCs/>
              </w:rPr>
              <w:t>Дозвіл</w:t>
            </w:r>
            <w:proofErr w:type="spellEnd"/>
            <w:r w:rsidRPr="003D307A">
              <w:rPr>
                <w:rStyle w:val="Bold"/>
                <w:b/>
                <w:bCs/>
              </w:rPr>
              <w:t xml:space="preserve">/заборона </w:t>
            </w:r>
            <w:proofErr w:type="spellStart"/>
            <w:r w:rsidRPr="003D307A">
              <w:rPr>
                <w:rStyle w:val="Bold"/>
                <w:b/>
                <w:bCs/>
              </w:rPr>
              <w:t>використовувати</w:t>
            </w:r>
            <w:proofErr w:type="spellEnd"/>
            <w:r w:rsidRPr="003D307A">
              <w:rPr>
                <w:rStyle w:val="Bold"/>
                <w:b/>
                <w:bCs/>
              </w:rPr>
              <w:t xml:space="preserve"> вакцину</w:t>
            </w:r>
          </w:p>
        </w:tc>
        <w:tc>
          <w:tcPr>
            <w:tcW w:w="6549" w:type="dxa"/>
          </w:tcPr>
          <w:p w14:paraId="2E47126B" w14:textId="77777777" w:rsidR="003D307A" w:rsidRPr="003D307A" w:rsidRDefault="003D307A" w:rsidP="003D307A">
            <w:pPr>
              <w:pStyle w:val="ShiftCtrlAlt"/>
              <w:rPr>
                <w:rStyle w:val="Bold"/>
                <w:b/>
                <w:bCs/>
              </w:rPr>
            </w:pPr>
            <w:proofErr w:type="spellStart"/>
            <w:r w:rsidRPr="003D307A">
              <w:rPr>
                <w:rStyle w:val="Bold"/>
                <w:b/>
                <w:bCs/>
              </w:rPr>
              <w:t>Показник</w:t>
            </w:r>
            <w:proofErr w:type="spellEnd"/>
          </w:p>
        </w:tc>
      </w:tr>
      <w:tr w:rsidR="003D307A" w:rsidRPr="00CA1074" w14:paraId="7F4354A0" w14:textId="77777777" w:rsidTr="00122E60">
        <w:tc>
          <w:tcPr>
            <w:tcW w:w="3794" w:type="dxa"/>
          </w:tcPr>
          <w:p w14:paraId="7746F672" w14:textId="77777777" w:rsidR="003D307A" w:rsidRPr="00090F49" w:rsidRDefault="003D307A" w:rsidP="00122E60">
            <w:pPr>
              <w:pStyle w:val="ShiftCtrlAlt0"/>
              <w:rPr>
                <w:lang w:val="uk-UA"/>
              </w:rPr>
            </w:pPr>
            <w:r>
              <w:t>Дозволено</w:t>
            </w:r>
            <w:r w:rsidRPr="00090F49">
              <w:rPr>
                <w:lang w:val="uk-UA"/>
              </w:rPr>
              <w:t xml:space="preserve"> використовувати</w:t>
            </w:r>
          </w:p>
        </w:tc>
        <w:tc>
          <w:tcPr>
            <w:tcW w:w="6549" w:type="dxa"/>
          </w:tcPr>
          <w:p w14:paraId="78696B39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Внутрішній квадрат термоіндикатора світліший</w:t>
            </w:r>
            <w:r>
              <w:rPr>
                <w:lang w:val="uk-UA"/>
              </w:rPr>
              <w:t xml:space="preserve"> за </w:t>
            </w:r>
            <w:r w:rsidRPr="00CA1074">
              <w:rPr>
                <w:lang w:val="uk-UA"/>
              </w:rPr>
              <w:t>зовнішнє коло</w:t>
            </w:r>
          </w:p>
        </w:tc>
      </w:tr>
      <w:tr w:rsidR="003D307A" w:rsidRPr="00CA1074" w14:paraId="79E7A553" w14:textId="77777777" w:rsidTr="00122E60">
        <w:tc>
          <w:tcPr>
            <w:tcW w:w="3794" w:type="dxa"/>
          </w:tcPr>
          <w:p w14:paraId="5512861E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Варто</w:t>
            </w:r>
            <w:r w:rsidRPr="00090F49">
              <w:rPr>
                <w:lang w:val="uk-UA"/>
              </w:rPr>
              <w:t xml:space="preserve"> використати </w:t>
            </w:r>
            <w:r w:rsidRPr="00CA1074">
              <w:rPr>
                <w:lang w:val="uk-UA"/>
              </w:rPr>
              <w:t>насамперед</w:t>
            </w:r>
          </w:p>
        </w:tc>
        <w:tc>
          <w:tcPr>
            <w:tcW w:w="6549" w:type="dxa"/>
          </w:tcPr>
          <w:p w14:paraId="42B020D0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Внутрішній квадрат термоіндикатора все ще світліший</w:t>
            </w:r>
            <w:r>
              <w:rPr>
                <w:lang w:val="uk-UA"/>
              </w:rPr>
              <w:t xml:space="preserve"> за </w:t>
            </w:r>
            <w:r w:rsidRPr="00CA1074">
              <w:rPr>
                <w:lang w:val="uk-UA"/>
              </w:rPr>
              <w:t>зовнішнє коло або всередині квадрата з’являються «крапочки»</w:t>
            </w:r>
          </w:p>
        </w:tc>
      </w:tr>
      <w:tr w:rsidR="003D307A" w:rsidRPr="00CA1074" w14:paraId="55877E47" w14:textId="77777777" w:rsidTr="00122E60">
        <w:tc>
          <w:tcPr>
            <w:tcW w:w="3794" w:type="dxa"/>
          </w:tcPr>
          <w:p w14:paraId="46BE5238" w14:textId="77777777" w:rsidR="003D307A" w:rsidRPr="00CA1074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Заборонено використовувати</w:t>
            </w:r>
          </w:p>
        </w:tc>
        <w:tc>
          <w:tcPr>
            <w:tcW w:w="6549" w:type="dxa"/>
          </w:tcPr>
          <w:p w14:paraId="0E650BEF" w14:textId="77777777" w:rsidR="003D307A" w:rsidRPr="00427CA3" w:rsidRDefault="003D307A" w:rsidP="00122E60">
            <w:pPr>
              <w:pStyle w:val="ShiftCtrlAlt0"/>
              <w:rPr>
                <w:lang w:val="uk-UA"/>
              </w:rPr>
            </w:pPr>
            <w:r w:rsidRPr="00CA1074">
              <w:rPr>
                <w:lang w:val="uk-UA"/>
              </w:rPr>
              <w:t>Внутрішній квадрат темніший</w:t>
            </w:r>
            <w:r>
              <w:rPr>
                <w:lang w:val="uk-UA"/>
              </w:rPr>
              <w:t xml:space="preserve"> за </w:t>
            </w:r>
            <w:r w:rsidRPr="00CA1074">
              <w:rPr>
                <w:lang w:val="uk-UA"/>
              </w:rPr>
              <w:t>зовнішнє коло або однаковий чи </w:t>
            </w:r>
            <w:r>
              <w:t>схожий</w:t>
            </w:r>
            <w:r>
              <w:rPr>
                <w:lang w:val="uk-UA"/>
              </w:rPr>
              <w:t xml:space="preserve"> за </w:t>
            </w:r>
            <w:r w:rsidRPr="00427CA3">
              <w:rPr>
                <w:lang w:val="uk-UA"/>
              </w:rPr>
              <w:t>кольором</w:t>
            </w:r>
          </w:p>
        </w:tc>
      </w:tr>
    </w:tbl>
    <w:p w14:paraId="47CE453C" w14:textId="44FA7B7C" w:rsidR="003D307A" w:rsidRDefault="003D307A" w:rsidP="003D307A">
      <w:pPr>
        <w:pStyle w:val="ShiftAlt"/>
      </w:pPr>
    </w:p>
    <w:p w14:paraId="20AE4E9E" w14:textId="77777777" w:rsidR="003D307A" w:rsidRPr="007D39B5" w:rsidRDefault="003D307A" w:rsidP="003D307A">
      <w:pPr>
        <w:pStyle w:val="ShiftAlt"/>
      </w:pPr>
      <w:r>
        <w:rPr>
          <w:rStyle w:val="Bold"/>
        </w:rPr>
        <w:t>11. </w:t>
      </w:r>
      <w:r w:rsidRPr="00CA1074">
        <w:rPr>
          <w:rStyle w:val="Bold"/>
        </w:rPr>
        <w:t>Електронні прилади контролю температурного режиму</w:t>
      </w:r>
    </w:p>
    <w:p w14:paraId="5A0AC6AF" w14:textId="77777777" w:rsidR="003D307A" w:rsidRPr="007D39B5" w:rsidRDefault="003D307A" w:rsidP="003D307A">
      <w:pPr>
        <w:pStyle w:val="ShiftAlt"/>
      </w:pPr>
      <w:r>
        <w:t>11.1. Е</w:t>
      </w:r>
      <w:r w:rsidRPr="007D39B5">
        <w:t>лектронний індикатор заморожування</w:t>
      </w:r>
      <w:r>
        <w:t xml:space="preserve"> — </w:t>
      </w:r>
      <w:r w:rsidRPr="007D39B5">
        <w:t xml:space="preserve">контролює температуру </w:t>
      </w:r>
      <w:r>
        <w:t>довкілля.</w:t>
      </w:r>
    </w:p>
    <w:p w14:paraId="6A7505C2" w14:textId="77777777" w:rsidR="003D307A" w:rsidRPr="007D39B5" w:rsidRDefault="003D307A" w:rsidP="003D307A">
      <w:pPr>
        <w:pStyle w:val="ShiftAlt"/>
      </w:pPr>
      <w:r>
        <w:lastRenderedPageBreak/>
        <w:t>11.2. Т</w:t>
      </w:r>
      <w:r w:rsidRPr="007D39B5">
        <w:t>ермограф — безперервно реєструє температуру в холодильному обладнанні</w:t>
      </w:r>
      <w:r>
        <w:t>.</w:t>
      </w:r>
    </w:p>
    <w:p w14:paraId="266AC9AE" w14:textId="77777777" w:rsidR="003D307A" w:rsidRPr="007D39B5" w:rsidRDefault="003D307A" w:rsidP="003D307A">
      <w:pPr>
        <w:pStyle w:val="ShiftAlt"/>
      </w:pPr>
      <w:r>
        <w:t>11.3. </w:t>
      </w:r>
      <w:proofErr w:type="spellStart"/>
      <w:r>
        <w:t>Т</w:t>
      </w:r>
      <w:r w:rsidRPr="007D39B5">
        <w:t>ермотестер</w:t>
      </w:r>
      <w:proofErr w:type="spellEnd"/>
      <w:r w:rsidRPr="007D39B5">
        <w:t> — пристрій багаторазового застосування</w:t>
      </w:r>
      <w:r>
        <w:t xml:space="preserve">, який </w:t>
      </w:r>
      <w:r w:rsidRPr="007D39B5">
        <w:t>документу</w:t>
      </w:r>
      <w:r>
        <w:t xml:space="preserve">є </w:t>
      </w:r>
      <w:r w:rsidRPr="007D39B5">
        <w:t>отриман</w:t>
      </w:r>
      <w:r>
        <w:t>і</w:t>
      </w:r>
      <w:r w:rsidRPr="007D39B5">
        <w:t xml:space="preserve"> дан</w:t>
      </w:r>
      <w:r>
        <w:t>і</w:t>
      </w:r>
      <w:r w:rsidRPr="007D39B5">
        <w:t xml:space="preserve"> в електронн</w:t>
      </w:r>
      <w:r>
        <w:t>ій та </w:t>
      </w:r>
      <w:r w:rsidRPr="007D39B5">
        <w:t>паперов</w:t>
      </w:r>
      <w:r>
        <w:t>ій формі</w:t>
      </w:r>
      <w:r w:rsidRPr="007D39B5">
        <w:t>.</w:t>
      </w:r>
    </w:p>
    <w:p w14:paraId="69C7E8C2" w14:textId="77777777" w:rsidR="003D307A" w:rsidRPr="007D39B5" w:rsidRDefault="003D307A" w:rsidP="003D307A">
      <w:pPr>
        <w:pStyle w:val="ShiftAlt"/>
      </w:pPr>
    </w:p>
    <w:p w14:paraId="35393E6F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12</w:t>
      </w:r>
      <w:r w:rsidRPr="00CA1074">
        <w:rPr>
          <w:rStyle w:val="Bold"/>
        </w:rPr>
        <w:t>. Вимоги</w:t>
      </w:r>
      <w:r>
        <w:rPr>
          <w:rStyle w:val="Bold"/>
        </w:rPr>
        <w:t xml:space="preserve"> до </w:t>
      </w:r>
      <w:r w:rsidRPr="00CA1074">
        <w:rPr>
          <w:rStyle w:val="Bold"/>
        </w:rPr>
        <w:t>зберігання вакцин</w:t>
      </w:r>
    </w:p>
    <w:p w14:paraId="701CE7A3" w14:textId="77777777" w:rsidR="003D307A" w:rsidRPr="007D39B5" w:rsidRDefault="003D307A" w:rsidP="003D307A">
      <w:pPr>
        <w:pStyle w:val="ShiftAlt"/>
      </w:pPr>
      <w:r>
        <w:t>12.1. </w:t>
      </w:r>
      <w:r w:rsidRPr="007D39B5">
        <w:t>Зберігайте вакцини</w:t>
      </w:r>
      <w:r>
        <w:t xml:space="preserve"> за </w:t>
      </w:r>
      <w:r w:rsidRPr="007D39B5">
        <w:t>температури від +2</w:t>
      </w:r>
      <w:r>
        <w:t xml:space="preserve"> до </w:t>
      </w:r>
      <w:r w:rsidRPr="007D39B5">
        <w:t>+8 °С або</w:t>
      </w:r>
      <w:r>
        <w:t xml:space="preserve"> тій, яка </w:t>
      </w:r>
      <w:r w:rsidRPr="007D39B5">
        <w:t>вказан</w:t>
      </w:r>
      <w:r>
        <w:t>а</w:t>
      </w:r>
      <w:r w:rsidRPr="007D39B5">
        <w:t xml:space="preserve"> в інструкціях про їх застосування.</w:t>
      </w:r>
    </w:p>
    <w:p w14:paraId="1FEF44B7" w14:textId="77777777" w:rsidR="003D307A" w:rsidRPr="007D39B5" w:rsidRDefault="003D307A" w:rsidP="003D307A">
      <w:pPr>
        <w:pStyle w:val="ShiftAlt"/>
      </w:pPr>
      <w:r>
        <w:t>12.2. </w:t>
      </w:r>
      <w:r w:rsidRPr="007D39B5">
        <w:t xml:space="preserve">Розчинники для вакцин </w:t>
      </w:r>
      <w:r>
        <w:t>дозволено</w:t>
      </w:r>
      <w:r w:rsidRPr="007D39B5">
        <w:t xml:space="preserve"> зберігати</w:t>
      </w:r>
      <w:r>
        <w:t xml:space="preserve"> за </w:t>
      </w:r>
      <w:r w:rsidRPr="007D39B5">
        <w:t xml:space="preserve">кімнатної температури, але перед відновленням готової форми </w:t>
      </w:r>
      <w:proofErr w:type="spellStart"/>
      <w:r>
        <w:t>охолодіть</w:t>
      </w:r>
      <w:proofErr w:type="spellEnd"/>
      <w:r>
        <w:t xml:space="preserve"> до </w:t>
      </w:r>
      <w:r w:rsidRPr="007D39B5">
        <w:t>температури від +2</w:t>
      </w:r>
      <w:r>
        <w:t xml:space="preserve"> до </w:t>
      </w:r>
      <w:r w:rsidRPr="007D39B5">
        <w:t>+6°С, щоб уникнути «термічного шоку» вакцини.</w:t>
      </w:r>
    </w:p>
    <w:p w14:paraId="392BD48E" w14:textId="77777777" w:rsidR="003D307A" w:rsidRPr="007D39B5" w:rsidRDefault="003D307A" w:rsidP="003D307A">
      <w:pPr>
        <w:pStyle w:val="ShiftAlt"/>
      </w:pPr>
      <w:r>
        <w:t>12.3. </w:t>
      </w:r>
      <w:r w:rsidRPr="007D39B5">
        <w:t>Вакцини, які </w:t>
      </w:r>
      <w:r>
        <w:t>потребують</w:t>
      </w:r>
      <w:r w:rsidRPr="007D39B5">
        <w:t xml:space="preserve"> зберігання в замороженому стані, слід зберігати в морозильних камерах</w:t>
      </w:r>
      <w:r>
        <w:t xml:space="preserve"> за </w:t>
      </w:r>
      <w:r w:rsidRPr="007D39B5">
        <w:t>температури від </w:t>
      </w:r>
      <w:r w:rsidRPr="007D39B5">
        <w:sym w:font="Symbol" w:char="F02D"/>
      </w:r>
      <w:r w:rsidRPr="007D39B5">
        <w:t>15</w:t>
      </w:r>
      <w:r>
        <w:t xml:space="preserve"> до </w:t>
      </w:r>
      <w:r w:rsidRPr="007D39B5">
        <w:sym w:font="Symbol" w:char="F02D"/>
      </w:r>
      <w:r w:rsidRPr="007D39B5">
        <w:t>25 °С для 1—2-го рівнів системи «холодового ланцюга».</w:t>
      </w:r>
    </w:p>
    <w:p w14:paraId="61862EA4" w14:textId="77777777" w:rsidR="003D307A" w:rsidRPr="007D39B5" w:rsidRDefault="003D307A" w:rsidP="003D307A">
      <w:pPr>
        <w:pStyle w:val="ShiftAlt"/>
      </w:pPr>
      <w:r>
        <w:t>12.4. </w:t>
      </w:r>
      <w:r w:rsidRPr="007D39B5">
        <w:t>Розміщуйте вакцини</w:t>
      </w:r>
      <w:r>
        <w:t xml:space="preserve"> на </w:t>
      </w:r>
      <w:r w:rsidRPr="007D39B5">
        <w:t>полицях холодильника так, щоб:</w:t>
      </w:r>
    </w:p>
    <w:p w14:paraId="73B8285C" w14:textId="77777777" w:rsidR="003D307A" w:rsidRPr="007D39B5" w:rsidRDefault="003D307A" w:rsidP="003D307A">
      <w:pPr>
        <w:pStyle w:val="a0"/>
      </w:pPr>
      <w:r>
        <w:t>до </w:t>
      </w:r>
      <w:r w:rsidRPr="007D39B5">
        <w:t>кожно</w:t>
      </w:r>
      <w:r>
        <w:t>го пакування</w:t>
      </w:r>
      <w:r w:rsidRPr="007D39B5">
        <w:t xml:space="preserve"> був доступ охолодженого повітря;</w:t>
      </w:r>
    </w:p>
    <w:p w14:paraId="7AF14901" w14:textId="77777777" w:rsidR="003D307A" w:rsidRPr="007D39B5" w:rsidRDefault="003D307A" w:rsidP="003D307A">
      <w:pPr>
        <w:pStyle w:val="a0"/>
      </w:pPr>
      <w:r w:rsidRPr="007D39B5">
        <w:t xml:space="preserve">препарат, який має менший </w:t>
      </w:r>
      <w:r>
        <w:t>термін</w:t>
      </w:r>
      <w:r w:rsidRPr="007D39B5">
        <w:t xml:space="preserve"> придатності, використати насамперед.</w:t>
      </w:r>
    </w:p>
    <w:p w14:paraId="158AA7AC" w14:textId="77777777" w:rsidR="003D307A" w:rsidRDefault="003D307A" w:rsidP="003D307A">
      <w:pPr>
        <w:pStyle w:val="ShiftAlt"/>
      </w:pPr>
      <w:r>
        <w:t>12.5. </w:t>
      </w:r>
      <w:r w:rsidRPr="007D39B5">
        <w:t>Холодильне обладнання використовуйте тільки</w:t>
      </w:r>
      <w:r>
        <w:t xml:space="preserve"> за </w:t>
      </w:r>
      <w:r w:rsidRPr="007D39B5">
        <w:t>призначенням.</w:t>
      </w:r>
    </w:p>
    <w:p w14:paraId="034F3227" w14:textId="77777777" w:rsidR="003D307A" w:rsidRDefault="003D307A" w:rsidP="003D307A">
      <w:pPr>
        <w:pStyle w:val="ShiftAlt"/>
      </w:pPr>
      <w:r>
        <w:t xml:space="preserve">12.6. Не </w:t>
      </w:r>
      <w:r w:rsidRPr="007D39B5">
        <w:t>зберіга</w:t>
      </w:r>
      <w:r>
        <w:t>йте вакцини</w:t>
      </w:r>
      <w:r w:rsidRPr="007D39B5">
        <w:t xml:space="preserve"> </w:t>
      </w:r>
      <w:r>
        <w:t>с</w:t>
      </w:r>
      <w:r w:rsidRPr="008A0E5F">
        <w:t xml:space="preserve">умісно </w:t>
      </w:r>
      <w:r w:rsidRPr="007D39B5">
        <w:t>з іншими лікарськими засобами</w:t>
      </w:r>
      <w:r>
        <w:t xml:space="preserve"> та </w:t>
      </w:r>
      <w:r w:rsidRPr="007D39B5">
        <w:t>сторонніми матеріалами</w:t>
      </w:r>
      <w:r>
        <w:t>.</w:t>
      </w:r>
    </w:p>
    <w:p w14:paraId="1043AC48" w14:textId="77777777" w:rsidR="003D307A" w:rsidRDefault="003D307A" w:rsidP="003D307A">
      <w:pPr>
        <w:pStyle w:val="ShiftAlt"/>
      </w:pPr>
      <w:r>
        <w:t>12.7. Не зберігайте</w:t>
      </w:r>
      <w:r w:rsidRPr="007D39B5">
        <w:t xml:space="preserve"> </w:t>
      </w:r>
      <w:r w:rsidRPr="00090F49">
        <w:t>вакцини</w:t>
      </w:r>
      <w:r>
        <w:t xml:space="preserve"> на </w:t>
      </w:r>
      <w:r w:rsidRPr="00090F49">
        <w:t>дверній панелі холодильника</w:t>
      </w:r>
      <w:r>
        <w:t>.</w:t>
      </w:r>
    </w:p>
    <w:p w14:paraId="0F34FCC9" w14:textId="77777777" w:rsidR="003D307A" w:rsidRPr="007D39B5" w:rsidRDefault="003D307A" w:rsidP="003D307A">
      <w:pPr>
        <w:pStyle w:val="ShiftAlt"/>
      </w:pPr>
      <w:r>
        <w:t>12.8. </w:t>
      </w:r>
      <w:r w:rsidRPr="007D39B5">
        <w:t>На всіх рівнях «холодового ланцюга»</w:t>
      </w:r>
      <w:r>
        <w:t xml:space="preserve">, </w:t>
      </w:r>
      <w:r w:rsidRPr="007D39B5">
        <w:t xml:space="preserve">керівник </w:t>
      </w:r>
      <w:r>
        <w:t>ЗОЗ має затвердити</w:t>
      </w:r>
      <w:r w:rsidRPr="007D39B5">
        <w:t xml:space="preserve"> План екстрених заходів</w:t>
      </w:r>
      <w:r>
        <w:t xml:space="preserve"> у разі</w:t>
      </w:r>
      <w:r w:rsidRPr="007D39B5">
        <w:t xml:space="preserve"> виникнення аварійних ситуацій порушення «холодового ланцюга».</w:t>
      </w:r>
    </w:p>
    <w:p w14:paraId="7ED25F17" w14:textId="77777777" w:rsidR="003D307A" w:rsidRPr="007D39B5" w:rsidRDefault="003D307A" w:rsidP="003D307A">
      <w:pPr>
        <w:pStyle w:val="ShiftAlt"/>
      </w:pPr>
    </w:p>
    <w:p w14:paraId="6796FEC6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13</w:t>
      </w:r>
      <w:r w:rsidRPr="00CA1074">
        <w:rPr>
          <w:rStyle w:val="Bold"/>
        </w:rPr>
        <w:t>. Вимоги</w:t>
      </w:r>
      <w:r>
        <w:rPr>
          <w:rStyle w:val="Bold"/>
        </w:rPr>
        <w:t xml:space="preserve"> до </w:t>
      </w:r>
      <w:r w:rsidRPr="00CA1074">
        <w:rPr>
          <w:rStyle w:val="Bold"/>
        </w:rPr>
        <w:t>транспортування вакцин</w:t>
      </w:r>
    </w:p>
    <w:p w14:paraId="26B8D0DE" w14:textId="77777777" w:rsidR="003D307A" w:rsidRPr="007D39B5" w:rsidRDefault="003D307A" w:rsidP="003D307A">
      <w:pPr>
        <w:pStyle w:val="ShiftAlt"/>
      </w:pPr>
      <w:r>
        <w:t>13.1. Т</w:t>
      </w:r>
      <w:r w:rsidRPr="007D39B5">
        <w:t xml:space="preserve">ранспортуйте </w:t>
      </w:r>
      <w:r>
        <w:t xml:space="preserve">вакцини </w:t>
      </w:r>
      <w:r w:rsidRPr="007D39B5">
        <w:t>в термоконтейнерах із відповідними картками-індикаторами, індикаторами заморожування і </w:t>
      </w:r>
      <w:proofErr w:type="spellStart"/>
      <w:r w:rsidRPr="007D39B5">
        <w:t>термотестерами</w:t>
      </w:r>
      <w:proofErr w:type="spellEnd"/>
      <w:r w:rsidRPr="007D39B5">
        <w:t xml:space="preserve"> рефрижераторним транспортом</w:t>
      </w:r>
      <w:r>
        <w:t xml:space="preserve"> за </w:t>
      </w:r>
      <w:r w:rsidRPr="007D39B5">
        <w:t>температури від +2</w:t>
      </w:r>
      <w:r>
        <w:t xml:space="preserve"> до </w:t>
      </w:r>
      <w:r w:rsidRPr="007D39B5">
        <w:t>+8 °С</w:t>
      </w:r>
      <w:r>
        <w:t>.</w:t>
      </w:r>
    </w:p>
    <w:p w14:paraId="1B318D72" w14:textId="77777777" w:rsidR="003D307A" w:rsidRDefault="003D307A" w:rsidP="003D307A">
      <w:pPr>
        <w:pStyle w:val="ShiftAlt"/>
      </w:pPr>
      <w:r>
        <w:t>13.2. З</w:t>
      </w:r>
      <w:r w:rsidRPr="007D39B5">
        <w:t xml:space="preserve">авантажуйте препарати в термоконтейнери </w:t>
      </w:r>
      <w:r>
        <w:t>в</w:t>
      </w:r>
      <w:r w:rsidRPr="007D39B5">
        <w:t> холодильній камері.</w:t>
      </w:r>
    </w:p>
    <w:p w14:paraId="570C1C1D" w14:textId="77777777" w:rsidR="003D307A" w:rsidRPr="007D39B5" w:rsidRDefault="003D307A" w:rsidP="003D307A">
      <w:pPr>
        <w:pStyle w:val="ShiftAlt"/>
      </w:pPr>
      <w:r>
        <w:t>13.3. </w:t>
      </w:r>
      <w:r w:rsidRPr="007D39B5">
        <w:t xml:space="preserve">У виняткових випадках </w:t>
      </w:r>
      <w:r>
        <w:t>дозволено</w:t>
      </w:r>
      <w:r w:rsidRPr="007D39B5">
        <w:t xml:space="preserve"> завантажувати</w:t>
      </w:r>
      <w:r>
        <w:t xml:space="preserve"> препарати за </w:t>
      </w:r>
      <w:r w:rsidRPr="007D39B5">
        <w:t>кімнатної температури не більше ніж 10 хвилин</w:t>
      </w:r>
      <w:r>
        <w:t>.</w:t>
      </w:r>
    </w:p>
    <w:p w14:paraId="069F6C3D" w14:textId="77777777" w:rsidR="003D307A" w:rsidRPr="007D39B5" w:rsidRDefault="003D307A" w:rsidP="003D307A">
      <w:pPr>
        <w:pStyle w:val="ShiftAlt"/>
      </w:pPr>
      <w:r>
        <w:t>13.4. К</w:t>
      </w:r>
      <w:r w:rsidRPr="007D39B5">
        <w:t xml:space="preserve">ондиціюйте </w:t>
      </w:r>
      <w:proofErr w:type="spellStart"/>
      <w:r w:rsidRPr="007D39B5">
        <w:t>холодоелементи</w:t>
      </w:r>
      <w:proofErr w:type="spellEnd"/>
      <w:r>
        <w:t xml:space="preserve">, доки з’явиться </w:t>
      </w:r>
      <w:r w:rsidRPr="007D39B5">
        <w:t>рідин</w:t>
      </w:r>
      <w:r>
        <w:t>а та </w:t>
      </w:r>
      <w:r w:rsidRPr="00994B8C">
        <w:t>л</w:t>
      </w:r>
      <w:r>
        <w:t xml:space="preserve">ід </w:t>
      </w:r>
      <w:r w:rsidRPr="007D39B5">
        <w:t>вільно переміщ</w:t>
      </w:r>
      <w:r>
        <w:t xml:space="preserve">уватиметься </w:t>
      </w:r>
      <w:r w:rsidRPr="007D39B5">
        <w:t>всередині;</w:t>
      </w:r>
    </w:p>
    <w:p w14:paraId="2D08229F" w14:textId="77777777" w:rsidR="003D307A" w:rsidRPr="007D39B5" w:rsidRDefault="003D307A" w:rsidP="003D307A">
      <w:pPr>
        <w:pStyle w:val="ShiftAlt"/>
      </w:pPr>
      <w:r>
        <w:t>13.5. В</w:t>
      </w:r>
      <w:r w:rsidRPr="007D39B5">
        <w:t>икористовуйте термоконтейнери багаторазово</w:t>
      </w:r>
      <w:r>
        <w:t>.</w:t>
      </w:r>
    </w:p>
    <w:p w14:paraId="2C250C06" w14:textId="77777777" w:rsidR="003D307A" w:rsidRPr="007D39B5" w:rsidRDefault="003D307A" w:rsidP="003D307A">
      <w:pPr>
        <w:pStyle w:val="ShiftAlt"/>
      </w:pPr>
      <w:r>
        <w:t>13.6. З</w:t>
      </w:r>
      <w:r w:rsidRPr="007D39B5">
        <w:t>абезпечте достатн</w:t>
      </w:r>
      <w:r>
        <w:t>ю</w:t>
      </w:r>
      <w:r w:rsidRPr="007D39B5">
        <w:t xml:space="preserve"> кільк</w:t>
      </w:r>
      <w:r>
        <w:t xml:space="preserve">ість </w:t>
      </w:r>
      <w:r w:rsidRPr="007D39B5">
        <w:t>холодового обладнання</w:t>
      </w:r>
      <w:r>
        <w:t>.</w:t>
      </w:r>
    </w:p>
    <w:p w14:paraId="244B08FD" w14:textId="77777777" w:rsidR="003D307A" w:rsidRPr="007D39B5" w:rsidRDefault="003D307A" w:rsidP="003D307A">
      <w:pPr>
        <w:pStyle w:val="ShiftAlt"/>
      </w:pPr>
      <w:r>
        <w:t>13.7. Н</w:t>
      </w:r>
      <w:r w:rsidRPr="007D39B5">
        <w:t xml:space="preserve">егайно </w:t>
      </w:r>
      <w:proofErr w:type="spellStart"/>
      <w:r w:rsidRPr="007D39B5">
        <w:t>розмістіть</w:t>
      </w:r>
      <w:proofErr w:type="spellEnd"/>
      <w:r w:rsidRPr="007D39B5">
        <w:t xml:space="preserve"> МІБП</w:t>
      </w:r>
      <w:r>
        <w:t xml:space="preserve"> у </w:t>
      </w:r>
      <w:r w:rsidRPr="000032AF">
        <w:t>холодильному обладнанні</w:t>
      </w:r>
      <w:r>
        <w:t>, коли</w:t>
      </w:r>
      <w:r w:rsidRPr="000032AF" w:rsidDel="000032AF">
        <w:t xml:space="preserve"> </w:t>
      </w:r>
      <w:r w:rsidRPr="007D39B5">
        <w:t>отрима</w:t>
      </w:r>
      <w:r>
        <w:t>єте</w:t>
      </w:r>
      <w:r w:rsidRPr="007D39B5">
        <w:t>. Водночас перевірте пока</w:t>
      </w:r>
      <w:r>
        <w:t>зи</w:t>
      </w:r>
      <w:r w:rsidRPr="007D39B5">
        <w:t xml:space="preserve"> </w:t>
      </w:r>
      <w:proofErr w:type="spellStart"/>
      <w:r w:rsidRPr="007D39B5">
        <w:t>контролю</w:t>
      </w:r>
      <w:r>
        <w:t>вальних</w:t>
      </w:r>
      <w:proofErr w:type="spellEnd"/>
      <w:r w:rsidRPr="007D39B5">
        <w:t xml:space="preserve"> засобів.</w:t>
      </w:r>
    </w:p>
    <w:p w14:paraId="6DA49E56" w14:textId="77777777" w:rsidR="003D307A" w:rsidRPr="007D39B5" w:rsidRDefault="003D307A" w:rsidP="003D307A">
      <w:pPr>
        <w:pStyle w:val="ShiftAlt"/>
      </w:pPr>
    </w:p>
    <w:p w14:paraId="5F5B2D92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14</w:t>
      </w:r>
      <w:r w:rsidRPr="00CA1074">
        <w:rPr>
          <w:rStyle w:val="Bold"/>
        </w:rPr>
        <w:t>. Контроль</w:t>
      </w:r>
      <w:r>
        <w:rPr>
          <w:rStyle w:val="Bold"/>
        </w:rPr>
        <w:t xml:space="preserve"> за </w:t>
      </w:r>
      <w:r w:rsidRPr="00CA1074">
        <w:rPr>
          <w:rStyle w:val="Bold"/>
        </w:rPr>
        <w:t>дотриманням умов «холодового ланцюга»</w:t>
      </w:r>
    </w:p>
    <w:p w14:paraId="47F01C45" w14:textId="77777777" w:rsidR="003D307A" w:rsidRPr="007D39B5" w:rsidRDefault="003D307A" w:rsidP="003D307A">
      <w:pPr>
        <w:pStyle w:val="ShiftAlt"/>
      </w:pPr>
      <w:r>
        <w:t>14.1. </w:t>
      </w:r>
      <w:r w:rsidRPr="00CA1074">
        <w:t>Контролюйте</w:t>
      </w:r>
      <w:r w:rsidRPr="007D39B5">
        <w:t xml:space="preserve"> дотримання умов за:</w:t>
      </w:r>
    </w:p>
    <w:p w14:paraId="617961ED" w14:textId="77777777" w:rsidR="003D307A" w:rsidRPr="007D39B5" w:rsidRDefault="003D307A" w:rsidP="003D307A">
      <w:pPr>
        <w:pStyle w:val="a0"/>
      </w:pPr>
      <w:r w:rsidRPr="007D39B5">
        <w:t xml:space="preserve">показами вимірювальних приладів стаціонарного холодильного обладнання і рефрижераторного транспорту, карток-індикаторів, температурних індикаторів, індикаторів заморожування, </w:t>
      </w:r>
      <w:proofErr w:type="spellStart"/>
      <w:r w:rsidRPr="007D39B5">
        <w:t>термотестерів</w:t>
      </w:r>
      <w:proofErr w:type="spellEnd"/>
      <w:r w:rsidRPr="007D39B5">
        <w:t>;</w:t>
      </w:r>
    </w:p>
    <w:p w14:paraId="08AE994B" w14:textId="77777777" w:rsidR="003D307A" w:rsidRPr="007D39B5" w:rsidRDefault="003D307A" w:rsidP="003D307A">
      <w:pPr>
        <w:pStyle w:val="a0"/>
      </w:pPr>
      <w:r w:rsidRPr="007D39B5">
        <w:t>записами в Журналі реєстрації температури.</w:t>
      </w:r>
    </w:p>
    <w:p w14:paraId="2D3B7DB5" w14:textId="77777777" w:rsidR="003D307A" w:rsidRPr="007D39B5" w:rsidRDefault="003D307A" w:rsidP="003D307A">
      <w:pPr>
        <w:pStyle w:val="ShiftAlt"/>
      </w:pPr>
      <w:r>
        <w:lastRenderedPageBreak/>
        <w:t>14.2. У </w:t>
      </w:r>
      <w:r w:rsidRPr="007D39B5">
        <w:t>разі аварійного чи планового відключення холодильника вакцини</w:t>
      </w:r>
      <w:r>
        <w:t xml:space="preserve"> та </w:t>
      </w:r>
      <w:r w:rsidRPr="007D39B5">
        <w:t>анатоксини зберігайте в термоконтейнерах із </w:t>
      </w:r>
      <w:proofErr w:type="spellStart"/>
      <w:r w:rsidRPr="007D39B5">
        <w:t>холодоелементами</w:t>
      </w:r>
      <w:proofErr w:type="spellEnd"/>
      <w:r w:rsidRPr="007D39B5">
        <w:t>.</w:t>
      </w:r>
    </w:p>
    <w:p w14:paraId="5E5249B7" w14:textId="77777777" w:rsidR="003D307A" w:rsidRPr="007D39B5" w:rsidRDefault="003D307A" w:rsidP="003D307A">
      <w:pPr>
        <w:pStyle w:val="ShiftAlt"/>
      </w:pPr>
      <w:r>
        <w:t>14.3. </w:t>
      </w:r>
      <w:r w:rsidRPr="007D39B5">
        <w:t>Факти аварійного чи планового відключення холодильника від електромережі фіксуйте в Журналі реєстрації температури.</w:t>
      </w:r>
    </w:p>
    <w:p w14:paraId="15E2DDD4" w14:textId="77777777" w:rsidR="003D307A" w:rsidRPr="007D39B5" w:rsidRDefault="003D307A" w:rsidP="003D307A">
      <w:pPr>
        <w:pStyle w:val="ShiftAlt"/>
      </w:pPr>
      <w:r>
        <w:t>14.4. </w:t>
      </w:r>
      <w:r w:rsidRPr="007D39B5">
        <w:t>Вакцини</w:t>
      </w:r>
      <w:r>
        <w:t xml:space="preserve"> та </w:t>
      </w:r>
      <w:r w:rsidRPr="007D39B5">
        <w:t>анатоксини, що зберігалис</w:t>
      </w:r>
      <w:r>
        <w:t>я</w:t>
      </w:r>
      <w:r w:rsidRPr="007D39B5">
        <w:t xml:space="preserve"> в умовах порушення «холодового ланцюга», </w:t>
      </w:r>
      <w:r>
        <w:t>заборонено</w:t>
      </w:r>
      <w:r w:rsidRPr="007D39B5">
        <w:t xml:space="preserve"> використовувати. </w:t>
      </w:r>
      <w:r>
        <w:t>У</w:t>
      </w:r>
      <w:r w:rsidRPr="007D39B5">
        <w:t>тиліз</w:t>
      </w:r>
      <w:r>
        <w:t>уйте їх</w:t>
      </w:r>
      <w:r w:rsidRPr="007D39B5">
        <w:t xml:space="preserve"> </w:t>
      </w:r>
      <w:r>
        <w:t xml:space="preserve">як </w:t>
      </w:r>
      <w:r w:rsidRPr="007D39B5">
        <w:t>медичні відходи категорії В.</w:t>
      </w:r>
    </w:p>
    <w:p w14:paraId="586028C0" w14:textId="3B64DA85" w:rsidR="003D307A" w:rsidRDefault="003D307A" w:rsidP="003D307A">
      <w:pPr>
        <w:pStyle w:val="ShiftAlt"/>
      </w:pPr>
    </w:p>
    <w:p w14:paraId="6E7BE390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15</w:t>
      </w:r>
      <w:r w:rsidRPr="00CA1074">
        <w:rPr>
          <w:rStyle w:val="Bold"/>
        </w:rPr>
        <w:t>. Правила приймання вакцин</w:t>
      </w:r>
    </w:p>
    <w:p w14:paraId="21D60107" w14:textId="77777777" w:rsidR="003D307A" w:rsidRPr="007D39B5" w:rsidRDefault="003D307A" w:rsidP="003D307A">
      <w:pPr>
        <w:pStyle w:val="ShiftAlt"/>
      </w:pPr>
      <w:r>
        <w:t>15.1. </w:t>
      </w:r>
      <w:r w:rsidRPr="007D39B5">
        <w:t>Інформуйте отримувача вакцин</w:t>
      </w:r>
      <w:r w:rsidRPr="00C22720">
        <w:t xml:space="preserve"> про прибуття вакцин</w:t>
      </w:r>
      <w:r w:rsidRPr="007D39B5">
        <w:t xml:space="preserve"> заздалегідь</w:t>
      </w:r>
      <w:r>
        <w:t>, не </w:t>
      </w:r>
      <w:r w:rsidRPr="007D39B5">
        <w:t>менше ніж</w:t>
      </w:r>
      <w:r>
        <w:t xml:space="preserve"> за </w:t>
      </w:r>
      <w:r w:rsidRPr="007D39B5">
        <w:t>дві доби.</w:t>
      </w:r>
    </w:p>
    <w:p w14:paraId="29F22ACF" w14:textId="77777777" w:rsidR="003D307A" w:rsidRPr="007D39B5" w:rsidRDefault="003D307A" w:rsidP="003D307A">
      <w:pPr>
        <w:pStyle w:val="ShiftAlt"/>
      </w:pPr>
      <w:r>
        <w:t>15.2. </w:t>
      </w:r>
      <w:r w:rsidRPr="007D39B5">
        <w:t>У місці прибуття вакцин створіть умови для їх зберігання відповідно</w:t>
      </w:r>
      <w:r>
        <w:t xml:space="preserve"> до </w:t>
      </w:r>
      <w:r w:rsidRPr="007D39B5">
        <w:t>вимог «холодового ланцюга»</w:t>
      </w:r>
      <w:r>
        <w:t xml:space="preserve"> та </w:t>
      </w:r>
      <w:r w:rsidRPr="007D39B5">
        <w:t>інструкцій про їх застосування.</w:t>
      </w:r>
    </w:p>
    <w:p w14:paraId="4A6102B1" w14:textId="77777777" w:rsidR="003D307A" w:rsidRPr="007D39B5" w:rsidRDefault="003D307A" w:rsidP="003D307A">
      <w:pPr>
        <w:pStyle w:val="ShiftAlt"/>
      </w:pPr>
      <w:r>
        <w:t>15.3. Т</w:t>
      </w:r>
      <w:r w:rsidRPr="007D39B5">
        <w:t>ерміново помістіть вакцин</w:t>
      </w:r>
      <w:r>
        <w:t>и до </w:t>
      </w:r>
      <w:r w:rsidRPr="00F8268B">
        <w:t>холодильного обладнання</w:t>
      </w:r>
      <w:r>
        <w:t xml:space="preserve">, коли </w:t>
      </w:r>
      <w:r w:rsidRPr="007D39B5">
        <w:t>отрима</w:t>
      </w:r>
      <w:r>
        <w:t>єте їх у </w:t>
      </w:r>
      <w:r w:rsidRPr="007D39B5">
        <w:t>місці призначення.</w:t>
      </w:r>
    </w:p>
    <w:p w14:paraId="06B122AF" w14:textId="77777777" w:rsidR="003D307A" w:rsidRPr="007D39B5" w:rsidRDefault="003D307A" w:rsidP="003D307A">
      <w:pPr>
        <w:pStyle w:val="ShiftAlt"/>
      </w:pPr>
      <w:r>
        <w:t>15.4. </w:t>
      </w:r>
      <w:r w:rsidRPr="007D39B5">
        <w:t>Отримувач має право вимагати скла</w:t>
      </w:r>
      <w:r>
        <w:t>сти</w:t>
      </w:r>
      <w:r w:rsidRPr="007D39B5">
        <w:t xml:space="preserve"> відповідн</w:t>
      </w:r>
      <w:r>
        <w:t>ий</w:t>
      </w:r>
      <w:r w:rsidRPr="007D39B5">
        <w:t xml:space="preserve"> акт і/або відмовитися від отримання препаратів</w:t>
      </w:r>
      <w:r>
        <w:t>, якщо</w:t>
      </w:r>
      <w:r w:rsidRPr="007D39B5">
        <w:t>:</w:t>
      </w:r>
    </w:p>
    <w:p w14:paraId="548C5A02" w14:textId="77777777" w:rsidR="003D307A" w:rsidRPr="007D39B5" w:rsidRDefault="003D307A" w:rsidP="003D307A">
      <w:pPr>
        <w:pStyle w:val="a0"/>
      </w:pPr>
      <w:r w:rsidRPr="007D39B5">
        <w:t>поруш</w:t>
      </w:r>
      <w:r>
        <w:t>или</w:t>
      </w:r>
      <w:r w:rsidRPr="007D39B5">
        <w:t xml:space="preserve"> вимог</w:t>
      </w:r>
      <w:r>
        <w:t>и</w:t>
      </w:r>
      <w:r w:rsidRPr="007D39B5">
        <w:t xml:space="preserve"> «холодового ланцюга»</w:t>
      </w:r>
      <w:r>
        <w:t xml:space="preserve"> на </w:t>
      </w:r>
      <w:r w:rsidRPr="007D39B5">
        <w:t>будь-якому етапі;</w:t>
      </w:r>
    </w:p>
    <w:p w14:paraId="2765CEAD" w14:textId="77777777" w:rsidR="003D307A" w:rsidRPr="007D39B5" w:rsidRDefault="003D307A" w:rsidP="003D307A">
      <w:pPr>
        <w:pStyle w:val="a0"/>
      </w:pPr>
      <w:r w:rsidRPr="007D39B5">
        <w:t>поруш</w:t>
      </w:r>
      <w:r>
        <w:t>или</w:t>
      </w:r>
      <w:r w:rsidRPr="007D39B5">
        <w:t xml:space="preserve"> режим зберігання або транспортування;</w:t>
      </w:r>
    </w:p>
    <w:p w14:paraId="07B6956C" w14:textId="77777777" w:rsidR="003D307A" w:rsidRPr="007D39B5" w:rsidRDefault="003D307A" w:rsidP="003D307A">
      <w:pPr>
        <w:pStyle w:val="a0"/>
      </w:pPr>
      <w:r w:rsidRPr="007D39B5">
        <w:t>виник</w:t>
      </w:r>
      <w:r>
        <w:t>ли</w:t>
      </w:r>
      <w:r w:rsidRPr="007D39B5">
        <w:t xml:space="preserve"> сумнів</w:t>
      </w:r>
      <w:r>
        <w:t xml:space="preserve">и щодо </w:t>
      </w:r>
      <w:r w:rsidRPr="007D39B5">
        <w:t>якості вакцин.</w:t>
      </w:r>
    </w:p>
    <w:p w14:paraId="028F0A28" w14:textId="77777777" w:rsidR="003D307A" w:rsidRPr="007D39B5" w:rsidRDefault="003D307A" w:rsidP="003D307A">
      <w:pPr>
        <w:pStyle w:val="ShiftAlt"/>
      </w:pPr>
      <w:r>
        <w:t>15.5. </w:t>
      </w:r>
      <w:r w:rsidRPr="007D39B5">
        <w:t>Вакцини</w:t>
      </w:r>
      <w:r>
        <w:t xml:space="preserve"> </w:t>
      </w:r>
      <w:r w:rsidRPr="007D39B5">
        <w:t>потрібно вилучити з обігу</w:t>
      </w:r>
      <w:r>
        <w:t>, якщо</w:t>
      </w:r>
      <w:r w:rsidRPr="007D39B5">
        <w:t>:</w:t>
      </w:r>
    </w:p>
    <w:p w14:paraId="448563AB" w14:textId="77777777" w:rsidR="003D307A" w:rsidRPr="007D39B5" w:rsidRDefault="003D307A" w:rsidP="003D307A">
      <w:pPr>
        <w:pStyle w:val="a0"/>
      </w:pPr>
      <w:r w:rsidRPr="007D39B5">
        <w:t>поруш</w:t>
      </w:r>
      <w:r>
        <w:t>или</w:t>
      </w:r>
      <w:r w:rsidRPr="007D39B5">
        <w:t xml:space="preserve"> умов</w:t>
      </w:r>
      <w:r>
        <w:t>и</w:t>
      </w:r>
      <w:r w:rsidRPr="007D39B5">
        <w:t xml:space="preserve"> транспортування;</w:t>
      </w:r>
    </w:p>
    <w:p w14:paraId="4C4D675F" w14:textId="77777777" w:rsidR="003D307A" w:rsidRPr="007D39B5" w:rsidRDefault="003D307A" w:rsidP="003D307A">
      <w:pPr>
        <w:pStyle w:val="a0"/>
      </w:pPr>
      <w:r w:rsidRPr="007D39B5">
        <w:t>поруш</w:t>
      </w:r>
      <w:r>
        <w:t>или</w:t>
      </w:r>
      <w:r w:rsidRPr="007D39B5">
        <w:t xml:space="preserve"> умов</w:t>
      </w:r>
      <w:r>
        <w:t>и</w:t>
      </w:r>
      <w:r w:rsidRPr="007D39B5">
        <w:t xml:space="preserve"> зберігання;</w:t>
      </w:r>
    </w:p>
    <w:p w14:paraId="50838698" w14:textId="77777777" w:rsidR="003D307A" w:rsidRPr="007D39B5" w:rsidRDefault="003D307A" w:rsidP="003D307A">
      <w:pPr>
        <w:pStyle w:val="a0"/>
      </w:pPr>
      <w:r w:rsidRPr="007D39B5">
        <w:t>поруш</w:t>
      </w:r>
      <w:r>
        <w:t>или</w:t>
      </w:r>
      <w:r w:rsidRPr="007D39B5">
        <w:t xml:space="preserve"> </w:t>
      </w:r>
      <w:r>
        <w:t>цілісність</w:t>
      </w:r>
      <w:r w:rsidRPr="007D39B5">
        <w:t xml:space="preserve"> </w:t>
      </w:r>
      <w:r>
        <w:t>пакування</w:t>
      </w:r>
      <w:r w:rsidRPr="007D39B5">
        <w:t>;</w:t>
      </w:r>
    </w:p>
    <w:p w14:paraId="60CF6250" w14:textId="77777777" w:rsidR="003D307A" w:rsidRPr="007D39B5" w:rsidRDefault="003D307A" w:rsidP="003D307A">
      <w:pPr>
        <w:pStyle w:val="a0"/>
      </w:pPr>
      <w:r w:rsidRPr="007D39B5">
        <w:t>зміни</w:t>
      </w:r>
      <w:r>
        <w:t>ли</w:t>
      </w:r>
      <w:r w:rsidRPr="007D39B5">
        <w:t xml:space="preserve"> фізичн</w:t>
      </w:r>
      <w:r>
        <w:t>і</w:t>
      </w:r>
      <w:r w:rsidRPr="007D39B5">
        <w:t xml:space="preserve"> властивост</w:t>
      </w:r>
      <w:r>
        <w:t>і</w:t>
      </w:r>
      <w:r w:rsidRPr="007D39B5">
        <w:t xml:space="preserve"> вакцин, анатоксинів;</w:t>
      </w:r>
    </w:p>
    <w:p w14:paraId="0EFB82E3" w14:textId="77777777" w:rsidR="003D307A" w:rsidRPr="007D39B5" w:rsidRDefault="003D307A" w:rsidP="003D307A">
      <w:pPr>
        <w:pStyle w:val="a0"/>
      </w:pPr>
      <w:r w:rsidRPr="007D39B5">
        <w:t>закінч</w:t>
      </w:r>
      <w:r>
        <w:t>ився</w:t>
      </w:r>
      <w:r w:rsidRPr="007D39B5">
        <w:t xml:space="preserve"> </w:t>
      </w:r>
      <w:r>
        <w:t>термін</w:t>
      </w:r>
      <w:r w:rsidRPr="007D39B5">
        <w:t xml:space="preserve"> придатності</w:t>
      </w:r>
      <w:r>
        <w:t xml:space="preserve"> вакцин</w:t>
      </w:r>
      <w:r w:rsidRPr="007D39B5">
        <w:t>.</w:t>
      </w:r>
    </w:p>
    <w:p w14:paraId="61D9008D" w14:textId="77777777" w:rsidR="003D307A" w:rsidRPr="007D39B5" w:rsidRDefault="003D307A" w:rsidP="003D307A">
      <w:pPr>
        <w:pStyle w:val="ShiftAlt"/>
      </w:pPr>
    </w:p>
    <w:p w14:paraId="5CF70301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t>16</w:t>
      </w:r>
      <w:r w:rsidRPr="00CA1074">
        <w:rPr>
          <w:rStyle w:val="Bold"/>
        </w:rPr>
        <w:t>. Правила обліку вакцин</w:t>
      </w:r>
    </w:p>
    <w:p w14:paraId="0B3B18C8" w14:textId="77777777" w:rsidR="003D307A" w:rsidRPr="007D39B5" w:rsidRDefault="003D307A" w:rsidP="003D307A">
      <w:pPr>
        <w:pStyle w:val="ShiftAlt"/>
      </w:pPr>
      <w:r>
        <w:t>16.1. На </w:t>
      </w:r>
      <w:r w:rsidRPr="007D39B5">
        <w:t xml:space="preserve">всіх рівнях «холодового ланцюга» </w:t>
      </w:r>
      <w:r>
        <w:t>забезпечте</w:t>
      </w:r>
      <w:r w:rsidRPr="007D39B5">
        <w:t xml:space="preserve"> повний і регулярний облік вакцин і розчинників, анатоксинів</w:t>
      </w:r>
      <w:r>
        <w:t xml:space="preserve"> та </w:t>
      </w:r>
      <w:r w:rsidRPr="007D39B5">
        <w:t>алергену туберкульозного, що зберігаються в Журналі обліку і руху вакцин</w:t>
      </w:r>
      <w:r>
        <w:t xml:space="preserve"> та </w:t>
      </w:r>
      <w:r w:rsidRPr="007D39B5">
        <w:t>анатоксинів.</w:t>
      </w:r>
    </w:p>
    <w:p w14:paraId="753254D8" w14:textId="77777777" w:rsidR="003D307A" w:rsidRDefault="003D307A" w:rsidP="003D307A">
      <w:pPr>
        <w:pStyle w:val="ShiftAlt"/>
      </w:pPr>
      <w:r>
        <w:t>16.2. </w:t>
      </w:r>
      <w:r w:rsidRPr="007D39B5">
        <w:t>Фіксуйте відомості щодо кожної вакцини:</w:t>
      </w:r>
    </w:p>
    <w:p w14:paraId="26EDD868" w14:textId="77777777" w:rsidR="003D307A" w:rsidRDefault="003D307A" w:rsidP="003D307A">
      <w:pPr>
        <w:pStyle w:val="a0"/>
      </w:pPr>
      <w:r w:rsidRPr="007D39B5">
        <w:t>торговельн</w:t>
      </w:r>
      <w:r>
        <w:t>у</w:t>
      </w:r>
      <w:r w:rsidRPr="007D39B5">
        <w:t xml:space="preserve"> назв</w:t>
      </w:r>
      <w:r>
        <w:t>у;</w:t>
      </w:r>
    </w:p>
    <w:p w14:paraId="0D93E407" w14:textId="77777777" w:rsidR="003D307A" w:rsidRDefault="003D307A" w:rsidP="003D307A">
      <w:pPr>
        <w:pStyle w:val="a0"/>
      </w:pPr>
      <w:r w:rsidRPr="007D39B5">
        <w:t>форм</w:t>
      </w:r>
      <w:r>
        <w:t>у</w:t>
      </w:r>
      <w:r w:rsidRPr="007D39B5">
        <w:t xml:space="preserve"> випуску</w:t>
      </w:r>
      <w:r>
        <w:t>;</w:t>
      </w:r>
    </w:p>
    <w:p w14:paraId="7D9F96A3" w14:textId="77777777" w:rsidR="003D307A" w:rsidRDefault="003D307A" w:rsidP="003D307A">
      <w:pPr>
        <w:pStyle w:val="a0"/>
      </w:pPr>
      <w:r w:rsidRPr="007D39B5">
        <w:t>номер серії</w:t>
      </w:r>
      <w:r>
        <w:t>;</w:t>
      </w:r>
    </w:p>
    <w:p w14:paraId="6E62F0F6" w14:textId="77777777" w:rsidR="003D307A" w:rsidRDefault="003D307A" w:rsidP="003D307A">
      <w:pPr>
        <w:pStyle w:val="a0"/>
      </w:pPr>
      <w:r w:rsidRPr="007D39B5">
        <w:t>строк придатності</w:t>
      </w:r>
      <w:r>
        <w:t>;</w:t>
      </w:r>
    </w:p>
    <w:p w14:paraId="64C2F00C" w14:textId="77777777" w:rsidR="003D307A" w:rsidRDefault="003D307A" w:rsidP="003D307A">
      <w:pPr>
        <w:pStyle w:val="a0"/>
      </w:pPr>
      <w:r w:rsidRPr="007D39B5">
        <w:t>кількість доз</w:t>
      </w:r>
      <w:r>
        <w:t>;</w:t>
      </w:r>
    </w:p>
    <w:p w14:paraId="257FDEBE" w14:textId="77777777" w:rsidR="003D307A" w:rsidRDefault="003D307A" w:rsidP="003D307A">
      <w:pPr>
        <w:pStyle w:val="a0"/>
      </w:pPr>
      <w:r w:rsidRPr="007D39B5">
        <w:t>найменування</w:t>
      </w:r>
      <w:r>
        <w:t xml:space="preserve"> й </w:t>
      </w:r>
      <w:r w:rsidRPr="007D39B5">
        <w:t>місцезнаходження підприємства-виробника</w:t>
      </w:r>
      <w:r>
        <w:t>;</w:t>
      </w:r>
    </w:p>
    <w:p w14:paraId="3590E575" w14:textId="77777777" w:rsidR="003D307A" w:rsidRDefault="003D307A" w:rsidP="003D307A">
      <w:pPr>
        <w:pStyle w:val="a0"/>
      </w:pPr>
      <w:r w:rsidRPr="007D39B5">
        <w:t>найменування</w:t>
      </w:r>
      <w:r>
        <w:t xml:space="preserve"> та </w:t>
      </w:r>
      <w:r w:rsidRPr="007D39B5">
        <w:t>місцезнаходження постачальника</w:t>
      </w:r>
      <w:r>
        <w:t>;</w:t>
      </w:r>
    </w:p>
    <w:p w14:paraId="12BF8975" w14:textId="77777777" w:rsidR="003D307A" w:rsidRDefault="003D307A" w:rsidP="003D307A">
      <w:pPr>
        <w:pStyle w:val="a0"/>
      </w:pPr>
      <w:r w:rsidRPr="007D39B5">
        <w:t>кількість отриманих і кількість використаних вакцин</w:t>
      </w:r>
      <w:r>
        <w:t>;</w:t>
      </w:r>
    </w:p>
    <w:p w14:paraId="5908F9B6" w14:textId="77777777" w:rsidR="003D307A" w:rsidRDefault="003D307A" w:rsidP="003D307A">
      <w:pPr>
        <w:pStyle w:val="a0"/>
      </w:pPr>
      <w:r w:rsidRPr="007D39B5">
        <w:t>кількість отриманого</w:t>
      </w:r>
      <w:r>
        <w:t xml:space="preserve"> та </w:t>
      </w:r>
      <w:r w:rsidRPr="007D39B5">
        <w:t>використаного розчинника,</w:t>
      </w:r>
    </w:p>
    <w:p w14:paraId="48609B66" w14:textId="77777777" w:rsidR="003D307A" w:rsidRDefault="003D307A" w:rsidP="003D307A">
      <w:pPr>
        <w:pStyle w:val="a0"/>
      </w:pPr>
      <w:r w:rsidRPr="007D39B5">
        <w:t>залишок препаратів</w:t>
      </w:r>
      <w:r>
        <w:t>;</w:t>
      </w:r>
    </w:p>
    <w:p w14:paraId="3D36818E" w14:textId="77777777" w:rsidR="003D307A" w:rsidRPr="007D39B5" w:rsidRDefault="003D307A" w:rsidP="003D307A">
      <w:pPr>
        <w:pStyle w:val="a0"/>
      </w:pPr>
      <w:r w:rsidRPr="007D39B5">
        <w:t>дат</w:t>
      </w:r>
      <w:r>
        <w:t>у</w:t>
      </w:r>
      <w:r w:rsidRPr="007D39B5">
        <w:t xml:space="preserve"> отримання</w:t>
      </w:r>
      <w:r>
        <w:t xml:space="preserve"> та </w:t>
      </w:r>
      <w:r w:rsidRPr="007D39B5">
        <w:t>використання препарату.</w:t>
      </w:r>
    </w:p>
    <w:p w14:paraId="6F14F4D5" w14:textId="77777777" w:rsidR="003D307A" w:rsidRPr="007D39B5" w:rsidRDefault="003D307A" w:rsidP="003D307A">
      <w:pPr>
        <w:pStyle w:val="ShiftAlt"/>
      </w:pPr>
    </w:p>
    <w:p w14:paraId="12017DD4" w14:textId="77777777" w:rsidR="003D307A" w:rsidRPr="00CA1074" w:rsidRDefault="003D307A" w:rsidP="003D307A">
      <w:pPr>
        <w:pStyle w:val="ShiftAlt"/>
        <w:rPr>
          <w:rStyle w:val="Bold"/>
        </w:rPr>
      </w:pPr>
      <w:r>
        <w:rPr>
          <w:rStyle w:val="Bold"/>
        </w:rPr>
        <w:lastRenderedPageBreak/>
        <w:t>17</w:t>
      </w:r>
      <w:r w:rsidRPr="00CA1074">
        <w:rPr>
          <w:rStyle w:val="Bold"/>
        </w:rPr>
        <w:t>. </w:t>
      </w:r>
      <w:r>
        <w:rPr>
          <w:rStyle w:val="Bold"/>
        </w:rPr>
        <w:t>З</w:t>
      </w:r>
      <w:r w:rsidRPr="00CA1074">
        <w:rPr>
          <w:rStyle w:val="Bold"/>
        </w:rPr>
        <w:t>аповнення сумки-холодильника:</w:t>
      </w:r>
    </w:p>
    <w:p w14:paraId="5E44D799" w14:textId="77777777" w:rsidR="003D307A" w:rsidRPr="007D39B5" w:rsidRDefault="003D307A" w:rsidP="003D307A">
      <w:pPr>
        <w:pStyle w:val="ShiftAlt"/>
      </w:pPr>
      <w:r>
        <w:t>17.1. </w:t>
      </w:r>
      <w:proofErr w:type="spellStart"/>
      <w:r>
        <w:t>В</w:t>
      </w:r>
      <w:r w:rsidRPr="007D39B5">
        <w:t>ийміть</w:t>
      </w:r>
      <w:proofErr w:type="spellEnd"/>
      <w:r w:rsidRPr="007D39B5">
        <w:t xml:space="preserve"> холодові елементи з морозильника</w:t>
      </w:r>
      <w:r>
        <w:t>.</w:t>
      </w:r>
    </w:p>
    <w:p w14:paraId="12100185" w14:textId="77777777" w:rsidR="003D307A" w:rsidRPr="007D39B5" w:rsidRDefault="003D307A" w:rsidP="003D307A">
      <w:pPr>
        <w:pStyle w:val="ShiftAlt"/>
      </w:pPr>
      <w:r>
        <w:t>17.2. П</w:t>
      </w:r>
      <w:r w:rsidRPr="007D39B5">
        <w:t>отримайте</w:t>
      </w:r>
      <w:r>
        <w:t xml:space="preserve"> за кімнатної температури, доки </w:t>
      </w:r>
      <w:r w:rsidRPr="007D39B5">
        <w:t>утвор</w:t>
      </w:r>
      <w:r>
        <w:t>яться</w:t>
      </w:r>
      <w:r w:rsidRPr="007D39B5">
        <w:t xml:space="preserve"> крапел</w:t>
      </w:r>
      <w:r>
        <w:t>ьки</w:t>
      </w:r>
      <w:r w:rsidRPr="007D39B5">
        <w:t xml:space="preserve"> конденсату</w:t>
      </w:r>
      <w:r>
        <w:t xml:space="preserve"> на </w:t>
      </w:r>
      <w:r w:rsidRPr="007D39B5">
        <w:t>поверхні</w:t>
      </w:r>
      <w:r>
        <w:t xml:space="preserve"> та </w:t>
      </w:r>
      <w:r w:rsidRPr="007D39B5">
        <w:t>л</w:t>
      </w:r>
      <w:r>
        <w:t xml:space="preserve">ід </w:t>
      </w:r>
      <w:r w:rsidRPr="007D39B5">
        <w:t>вільно переміщ</w:t>
      </w:r>
      <w:r>
        <w:t>уватиметься</w:t>
      </w:r>
      <w:r w:rsidRPr="007D39B5">
        <w:t xml:space="preserve"> всередині</w:t>
      </w:r>
      <w:r>
        <w:t>.</w:t>
      </w:r>
    </w:p>
    <w:p w14:paraId="0B17053D" w14:textId="77777777" w:rsidR="003D307A" w:rsidRPr="007D39B5" w:rsidRDefault="003D307A" w:rsidP="003D307A">
      <w:pPr>
        <w:pStyle w:val="ShiftAlt"/>
      </w:pPr>
      <w:r>
        <w:t>17.3. П</w:t>
      </w:r>
      <w:r w:rsidRPr="007D39B5">
        <w:t>ротріть поверхню елементів насухо</w:t>
      </w:r>
      <w:r>
        <w:t>.</w:t>
      </w:r>
    </w:p>
    <w:p w14:paraId="0D30B84D" w14:textId="77777777" w:rsidR="003D307A" w:rsidRPr="007D39B5" w:rsidRDefault="003D307A" w:rsidP="003D307A">
      <w:pPr>
        <w:pStyle w:val="ShiftAlt"/>
      </w:pPr>
      <w:r>
        <w:t>17.4. П</w:t>
      </w:r>
      <w:r w:rsidRPr="007D39B5">
        <w:t>окладіть</w:t>
      </w:r>
      <w:r>
        <w:t xml:space="preserve"> у </w:t>
      </w:r>
      <w:r w:rsidRPr="007D39B5">
        <w:t>сумку-холодильник чи термоконтейнер</w:t>
      </w:r>
      <w:r>
        <w:t>.</w:t>
      </w:r>
    </w:p>
    <w:p w14:paraId="211B0BDC" w14:textId="77777777" w:rsidR="003D307A" w:rsidRPr="007D39B5" w:rsidRDefault="003D307A" w:rsidP="003D307A">
      <w:pPr>
        <w:pStyle w:val="ShiftAlt"/>
      </w:pPr>
      <w:r>
        <w:t>17.5. В</w:t>
      </w:r>
      <w:r w:rsidRPr="007D39B5">
        <w:t>рахуйте, що кількість холодових елементів залежить від об’єму сумки</w:t>
      </w:r>
      <w:r>
        <w:t xml:space="preserve">. Дотримуйте </w:t>
      </w:r>
      <w:r w:rsidRPr="007D39B5">
        <w:t>інструкції виробника</w:t>
      </w:r>
      <w:r>
        <w:t>.</w:t>
      </w:r>
    </w:p>
    <w:p w14:paraId="25A2BF01" w14:textId="77777777" w:rsidR="003D307A" w:rsidRPr="007D39B5" w:rsidRDefault="003D307A" w:rsidP="003D307A">
      <w:pPr>
        <w:pStyle w:val="ShiftAlt"/>
      </w:pPr>
      <w:r>
        <w:t xml:space="preserve">17.6. Зробіть прошарок із </w:t>
      </w:r>
      <w:r w:rsidRPr="007D39B5">
        <w:t>картон</w:t>
      </w:r>
      <w:r>
        <w:t>у</w:t>
      </w:r>
      <w:r w:rsidRPr="00437E1E" w:rsidDel="00531955">
        <w:t xml:space="preserve"> </w:t>
      </w:r>
      <w:r>
        <w:t>для</w:t>
      </w:r>
      <w:r w:rsidRPr="007D39B5">
        <w:t xml:space="preserve"> флакон</w:t>
      </w:r>
      <w:r>
        <w:t>ів та </w:t>
      </w:r>
      <w:r w:rsidRPr="007D39B5">
        <w:t>ампул</w:t>
      </w:r>
      <w:r>
        <w:t xml:space="preserve"> </w:t>
      </w:r>
      <w:r w:rsidRPr="007D39B5">
        <w:t>МІБП, щоб </w:t>
      </w:r>
      <w:r>
        <w:t>запобігти</w:t>
      </w:r>
      <w:r w:rsidRPr="007D39B5">
        <w:t xml:space="preserve"> заморожуванн</w:t>
      </w:r>
      <w:r>
        <w:t xml:space="preserve">ю </w:t>
      </w:r>
      <w:r w:rsidRPr="007D39B5">
        <w:t>вакцин</w:t>
      </w:r>
      <w:r>
        <w:t>.</w:t>
      </w:r>
    </w:p>
    <w:p w14:paraId="271FE541" w14:textId="6C86675A" w:rsidR="003D307A" w:rsidRPr="0085635C" w:rsidRDefault="003D307A" w:rsidP="003D307A">
      <w:pPr>
        <w:pStyle w:val="ShiftAlt"/>
      </w:pPr>
      <w:r>
        <w:t>17.7. Н</w:t>
      </w:r>
      <w:r w:rsidRPr="007D39B5">
        <w:t>е допускайте прямого контакту вакцин із поверхнею холодового елемента.</w:t>
      </w:r>
    </w:p>
    <w:sectPr w:rsidR="003D307A" w:rsidRPr="0085635C" w:rsidSect="00491FEF">
      <w:headerReference w:type="default" r:id="rId11"/>
      <w:footerReference w:type="default" r:id="rId12"/>
      <w:pgSz w:w="11339" w:h="14457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C384" w14:textId="77777777" w:rsidR="00677EE7" w:rsidRDefault="00677EE7" w:rsidP="00983E72">
      <w:pPr>
        <w:spacing w:after="0" w:line="240" w:lineRule="auto"/>
      </w:pPr>
      <w:r>
        <w:separator/>
      </w:r>
    </w:p>
  </w:endnote>
  <w:endnote w:type="continuationSeparator" w:id="0">
    <w:p w14:paraId="08DD6584" w14:textId="77777777" w:rsidR="00677EE7" w:rsidRDefault="00677EE7" w:rsidP="009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70C5" w14:textId="772D43C5" w:rsidR="00983E72" w:rsidRDefault="00983E72" w:rsidP="008D63D9">
    <w:pPr>
      <w:pStyle w:val="aa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proofErr w:type="spellStart"/>
    <w:r>
      <w:rPr>
        <w:lang w:eastAsia="uk-UA"/>
      </w:rPr>
      <w:t>Експертус</w:t>
    </w:r>
    <w:proofErr w:type="spellEnd"/>
    <w:r>
      <w:t xml:space="preserve">, </w:t>
    </w:r>
    <w:proofErr w:type="spellStart"/>
    <w:r w:rsidRPr="002A43A8">
      <w:t>shop.expertus</w:t>
    </w:r>
    <w:proofErr w:type="spellEnd"/>
    <w:r w:rsidRPr="002A43A8">
      <w:t>.</w:t>
    </w:r>
    <w:r w:rsidR="008D63D9">
      <w:rPr>
        <w:lang w:val="en-US"/>
      </w:rPr>
      <w:t>media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5AF6" w14:textId="77777777" w:rsidR="00677EE7" w:rsidRDefault="00677EE7" w:rsidP="00983E72">
      <w:pPr>
        <w:spacing w:after="0" w:line="240" w:lineRule="auto"/>
      </w:pPr>
      <w:r>
        <w:separator/>
      </w:r>
    </w:p>
  </w:footnote>
  <w:footnote w:type="continuationSeparator" w:id="0">
    <w:p w14:paraId="7EDEB0FA" w14:textId="77777777" w:rsidR="00677EE7" w:rsidRDefault="00677EE7" w:rsidP="009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A14E" w14:textId="3D493106" w:rsidR="00983E72" w:rsidRPr="00983E72" w:rsidRDefault="00983E72" w:rsidP="006021C4">
    <w:pPr>
      <w:pBdr>
        <w:bottom w:val="single" w:sz="4" w:space="1" w:color="auto"/>
      </w:pBdr>
      <w:jc w:val="center"/>
      <w:rPr>
        <w:rFonts w:cs="Times New Roman"/>
        <w:lang w:eastAsia="uk-UA"/>
      </w:rPr>
    </w:pPr>
    <w:bookmarkStart w:id="1" w:name="_Hlk86845321"/>
    <w:bookmarkStart w:id="2" w:name="_Hlk86845609"/>
    <w:bookmarkStart w:id="3" w:name="_Hlk86845610"/>
    <w:r w:rsidRPr="00B73EF0">
      <w:rPr>
        <w:rFonts w:cs="Times New Roman"/>
      </w:rPr>
      <w:t xml:space="preserve">© </w:t>
    </w:r>
    <w:r w:rsidRPr="00B73EF0">
      <w:rPr>
        <w:rFonts w:cs="Times New Roman"/>
        <w:lang w:eastAsia="uk-UA"/>
      </w:rPr>
      <w:t xml:space="preserve">Цифрове видавництво </w:t>
    </w:r>
    <w:proofErr w:type="spellStart"/>
    <w:r w:rsidRPr="00B73EF0">
      <w:rPr>
        <w:rFonts w:cs="Times New Roman"/>
        <w:lang w:eastAsia="uk-UA"/>
      </w:rPr>
      <w:t>Експертус</w:t>
    </w:r>
    <w:proofErr w:type="spellEnd"/>
    <w:r w:rsidRPr="00B73EF0">
      <w:rPr>
        <w:rFonts w:cs="Times New Roman"/>
      </w:rPr>
      <w:t xml:space="preserve">, </w:t>
    </w:r>
    <w:proofErr w:type="spellStart"/>
    <w:r w:rsidR="006021C4">
      <w:rPr>
        <w:rFonts w:cs="Times New Roman"/>
      </w:rPr>
      <w:t>shop.expertus.media</w:t>
    </w:r>
    <w:proofErr w:type="spellEnd"/>
    <w:r>
      <w:rPr>
        <w:rFonts w:cs="Times New Roman"/>
      </w:rPr>
      <w:t xml:space="preserve">, </w:t>
    </w:r>
    <w:r w:rsidRPr="00B73EF0">
      <w:rPr>
        <w:rFonts w:cs="Times New Roman"/>
      </w:rPr>
      <w:t>0 800 21 20 12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9A0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FC0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C7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DA6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F04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C6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C9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8A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340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D65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2A7"/>
    <w:multiLevelType w:val="hybridMultilevel"/>
    <w:tmpl w:val="80AA649E"/>
    <w:lvl w:ilvl="0" w:tplc="0422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48A2819"/>
    <w:multiLevelType w:val="hybridMultilevel"/>
    <w:tmpl w:val="EE5E3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4"/>
    <w:rsid w:val="000324CA"/>
    <w:rsid w:val="000A053D"/>
    <w:rsid w:val="0011267C"/>
    <w:rsid w:val="001C346D"/>
    <w:rsid w:val="0024371D"/>
    <w:rsid w:val="00290700"/>
    <w:rsid w:val="00335A1B"/>
    <w:rsid w:val="00364B58"/>
    <w:rsid w:val="003D307A"/>
    <w:rsid w:val="004034D2"/>
    <w:rsid w:val="00461114"/>
    <w:rsid w:val="004740DF"/>
    <w:rsid w:val="00491FEF"/>
    <w:rsid w:val="00510AA7"/>
    <w:rsid w:val="005D0543"/>
    <w:rsid w:val="006021C4"/>
    <w:rsid w:val="00651464"/>
    <w:rsid w:val="00677EE7"/>
    <w:rsid w:val="007F53D4"/>
    <w:rsid w:val="0084580D"/>
    <w:rsid w:val="0085635C"/>
    <w:rsid w:val="008A5A36"/>
    <w:rsid w:val="008B2BB7"/>
    <w:rsid w:val="008C7F89"/>
    <w:rsid w:val="008D63D9"/>
    <w:rsid w:val="00983E72"/>
    <w:rsid w:val="009C3D9A"/>
    <w:rsid w:val="00DC607D"/>
    <w:rsid w:val="00E06CEA"/>
    <w:rsid w:val="00E3119A"/>
    <w:rsid w:val="00E66D8C"/>
    <w:rsid w:val="00EF21B9"/>
    <w:rsid w:val="00EF2BA5"/>
    <w:rsid w:val="00F06DA9"/>
    <w:rsid w:val="00F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3E72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3D3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D3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D3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3D30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D30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1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5">
    <w:name w:val="пометки редактора"/>
    <w:basedOn w:val="a1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6">
    <w:name w:val="header"/>
    <w:basedOn w:val="a1"/>
    <w:link w:val="a7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83E72"/>
  </w:style>
  <w:style w:type="paragraph" w:styleId="a8">
    <w:name w:val="footer"/>
    <w:basedOn w:val="a1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83E72"/>
  </w:style>
  <w:style w:type="paragraph" w:customStyle="1" w:styleId="aa">
    <w:name w:val="Кол. низ"/>
    <w:basedOn w:val="a1"/>
    <w:link w:val="ab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b">
    <w:name w:val="Кол. низ Знак"/>
    <w:link w:val="aa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c">
    <w:name w:val="Table Grid"/>
    <w:basedOn w:val="a3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d">
    <w:name w:val="Верхній_індекс"/>
    <w:rsid w:val="000324CA"/>
    <w:rPr>
      <w:vertAlign w:val="superscript"/>
    </w:rPr>
  </w:style>
  <w:style w:type="table" w:customStyle="1" w:styleId="11">
    <w:name w:val="Стиль1"/>
    <w:basedOn w:val="a3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14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15"/>
      </w:numPr>
    </w:pPr>
  </w:style>
  <w:style w:type="character" w:customStyle="1" w:styleId="10">
    <w:name w:val="Заголовок 1 Знак"/>
    <w:basedOn w:val="a2"/>
    <w:link w:val="1"/>
    <w:uiPriority w:val="9"/>
    <w:rsid w:val="003D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3D3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D30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3D30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3D307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Subtitle"/>
    <w:basedOn w:val="a1"/>
    <w:next w:val="a1"/>
    <w:link w:val="af"/>
    <w:uiPriority w:val="11"/>
    <w:qFormat/>
    <w:rsid w:val="003D30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2"/>
    <w:link w:val="ae"/>
    <w:uiPriority w:val="11"/>
    <w:rsid w:val="003D307A"/>
    <w:rPr>
      <w:rFonts w:eastAsiaTheme="minorEastAsia"/>
      <w:color w:val="5A5A5A" w:themeColor="text1" w:themeTint="A5"/>
      <w:spacing w:val="15"/>
    </w:rPr>
  </w:style>
  <w:style w:type="paragraph" w:styleId="12">
    <w:name w:val="toc 1"/>
    <w:basedOn w:val="a1"/>
    <w:next w:val="a1"/>
    <w:autoRedefine/>
    <w:uiPriority w:val="39"/>
    <w:unhideWhenUsed/>
    <w:rsid w:val="003D307A"/>
    <w:pPr>
      <w:spacing w:after="100"/>
    </w:pPr>
  </w:style>
  <w:style w:type="paragraph" w:styleId="af0">
    <w:name w:val="toa heading"/>
    <w:basedOn w:val="a1"/>
    <w:next w:val="a1"/>
    <w:uiPriority w:val="99"/>
    <w:unhideWhenUsed/>
    <w:rsid w:val="003D30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546D-606D-404A-B6ED-25D7D4B81B36}"/>
</file>

<file path=customXml/itemProps2.xml><?xml version="1.0" encoding="utf-8"?>
<ds:datastoreItem xmlns:ds="http://schemas.openxmlformats.org/officeDocument/2006/customXml" ds:itemID="{C6510607-D6E1-4551-8C11-023F65CAAB0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5b7e80e6-8821-4be9-8917-c0ee21c1c9c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a7d07d7-5145-4ed6-99e4-26d0809d42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Олена Галілейська</cp:lastModifiedBy>
  <cp:revision>4</cp:revision>
  <dcterms:created xsi:type="dcterms:W3CDTF">2023-10-04T07:51:00Z</dcterms:created>
  <dcterms:modified xsi:type="dcterms:W3CDTF">2023-10-04T08:02:00Z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